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0268" w:rsidRPr="00360268" w:rsidRDefault="00360268" w:rsidP="00360268">
      <w:pPr>
        <w:shd w:val="clear" w:color="auto" w:fill="FFFFFF"/>
        <w:spacing w:after="360" w:line="240" w:lineRule="auto"/>
        <w:outlineLvl w:val="0"/>
        <w:rPr>
          <w:rFonts w:ascii="Arial" w:eastAsia="Times New Roman" w:hAnsi="Arial" w:cs="Arial"/>
          <w:b/>
          <w:bCs/>
          <w:color w:val="161616"/>
          <w:kern w:val="36"/>
          <w:sz w:val="32"/>
          <w:szCs w:val="32"/>
          <w:lang w:eastAsia="fr-FR"/>
        </w:rPr>
      </w:pPr>
      <w:r w:rsidRPr="00360268">
        <w:rPr>
          <w:rFonts w:ascii="Arial" w:eastAsia="Times New Roman" w:hAnsi="Arial" w:cs="Arial"/>
          <w:b/>
          <w:bCs/>
          <w:color w:val="161616"/>
          <w:kern w:val="36"/>
          <w:sz w:val="32"/>
          <w:szCs w:val="32"/>
          <w:lang w:eastAsia="fr-FR"/>
        </w:rPr>
        <w:t>Entreprises : ce qui change au 1er janvier 2026</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Revalorisation du Smic, nouveaux taux de versement mobilité, suspension de certains dispositifs zonés d’exonération… Cette année encore, de nombreux changements sont à prévoir au 1er janvier pour les professionnels. On vous présente les principales nouveautés pour 2026.</w:t>
      </w:r>
    </w:p>
    <w:p w:rsidR="00360268" w:rsidRPr="00360268" w:rsidRDefault="00360268" w:rsidP="00360268">
      <w:pPr>
        <w:shd w:val="clear" w:color="auto" w:fill="FFFFFF"/>
        <w:spacing w:after="120" w:line="240" w:lineRule="auto"/>
        <w:outlineLvl w:val="1"/>
        <w:rPr>
          <w:rFonts w:ascii="Arial" w:eastAsia="Times New Roman" w:hAnsi="Arial" w:cs="Arial"/>
          <w:b/>
          <w:bCs/>
          <w:caps/>
          <w:color w:val="161616"/>
          <w:sz w:val="28"/>
          <w:szCs w:val="28"/>
          <w:lang w:eastAsia="fr-FR"/>
        </w:rPr>
      </w:pPr>
      <w:r w:rsidRPr="00360268">
        <w:rPr>
          <w:rFonts w:ascii="Arial" w:eastAsia="Times New Roman" w:hAnsi="Arial" w:cs="Arial"/>
          <w:b/>
          <w:bCs/>
          <w:caps/>
          <w:color w:val="161616"/>
          <w:sz w:val="28"/>
          <w:szCs w:val="28"/>
          <w:lang w:eastAsia="fr-FR"/>
        </w:rPr>
        <w:t>Sommaire</w:t>
      </w:r>
    </w:p>
    <w:p w:rsidR="00360268" w:rsidRPr="00360268" w:rsidRDefault="00360268" w:rsidP="00360268">
      <w:pPr>
        <w:numPr>
          <w:ilvl w:val="0"/>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hyperlink r:id="rId5" w:anchor="ce-qui-change-par-la-loi-et-les-_0" w:history="1">
        <w:r w:rsidRPr="00360268">
          <w:rPr>
            <w:rFonts w:ascii="Arial" w:eastAsia="Times New Roman" w:hAnsi="Arial" w:cs="Arial"/>
            <w:color w:val="161616"/>
            <w:sz w:val="24"/>
            <w:szCs w:val="24"/>
            <w:u w:val="single"/>
            <w:lang w:eastAsia="fr-FR"/>
          </w:rPr>
          <w:t>Ce qui change par la loi et les décrets</w:t>
        </w:r>
      </w:hyperlink>
    </w:p>
    <w:p w:rsidR="00360268" w:rsidRPr="00360268" w:rsidRDefault="00360268" w:rsidP="00360268">
      <w:pPr>
        <w:numPr>
          <w:ilvl w:val="1"/>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hyperlink r:id="rId6" w:anchor="travail_1" w:history="1">
        <w:r w:rsidRPr="00360268">
          <w:rPr>
            <w:rFonts w:ascii="Arial" w:eastAsia="Times New Roman" w:hAnsi="Arial" w:cs="Arial"/>
            <w:color w:val="161616"/>
            <w:sz w:val="24"/>
            <w:szCs w:val="24"/>
            <w:u w:val="single"/>
            <w:lang w:eastAsia="fr-FR"/>
          </w:rPr>
          <w:t>Travail</w:t>
        </w:r>
      </w:hyperlink>
    </w:p>
    <w:p w:rsidR="00360268" w:rsidRPr="00360268" w:rsidRDefault="00360268" w:rsidP="00360268">
      <w:pPr>
        <w:numPr>
          <w:ilvl w:val="1"/>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hyperlink r:id="rId7" w:anchor="cotisations_1" w:history="1">
        <w:r w:rsidRPr="00360268">
          <w:rPr>
            <w:rFonts w:ascii="Arial" w:eastAsia="Times New Roman" w:hAnsi="Arial" w:cs="Arial"/>
            <w:color w:val="161616"/>
            <w:sz w:val="24"/>
            <w:szCs w:val="24"/>
            <w:u w:val="single"/>
            <w:lang w:eastAsia="fr-FR"/>
          </w:rPr>
          <w:t>Cotisations</w:t>
        </w:r>
      </w:hyperlink>
    </w:p>
    <w:p w:rsidR="00360268" w:rsidRPr="00360268" w:rsidRDefault="00360268" w:rsidP="00360268">
      <w:pPr>
        <w:numPr>
          <w:ilvl w:val="1"/>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hyperlink r:id="rId8" w:anchor="ressources-humaines_1" w:history="1">
        <w:r w:rsidRPr="00360268">
          <w:rPr>
            <w:rFonts w:ascii="Arial" w:eastAsia="Times New Roman" w:hAnsi="Arial" w:cs="Arial"/>
            <w:color w:val="161616"/>
            <w:sz w:val="24"/>
            <w:szCs w:val="24"/>
            <w:u w:val="single"/>
            <w:lang w:eastAsia="fr-FR"/>
          </w:rPr>
          <w:t>Ressources humaines</w:t>
        </w:r>
      </w:hyperlink>
    </w:p>
    <w:p w:rsidR="00360268" w:rsidRPr="00360268" w:rsidRDefault="00360268" w:rsidP="00360268">
      <w:pPr>
        <w:numPr>
          <w:ilvl w:val="1"/>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hyperlink r:id="rId9" w:anchor="taxes-et-imposition_1" w:history="1">
        <w:r w:rsidRPr="00360268">
          <w:rPr>
            <w:rFonts w:ascii="Arial" w:eastAsia="Times New Roman" w:hAnsi="Arial" w:cs="Arial"/>
            <w:color w:val="161616"/>
            <w:sz w:val="24"/>
            <w:szCs w:val="24"/>
            <w:u w:val="single"/>
            <w:lang w:eastAsia="fr-FR"/>
          </w:rPr>
          <w:t>Taxes et imposition</w:t>
        </w:r>
      </w:hyperlink>
    </w:p>
    <w:p w:rsidR="00360268" w:rsidRPr="00360268" w:rsidRDefault="00360268" w:rsidP="00360268">
      <w:pPr>
        <w:numPr>
          <w:ilvl w:val="1"/>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hyperlink r:id="rId10" w:anchor="aides-et-financements_1" w:history="1">
        <w:r w:rsidRPr="00360268">
          <w:rPr>
            <w:rFonts w:ascii="Arial" w:eastAsia="Times New Roman" w:hAnsi="Arial" w:cs="Arial"/>
            <w:color w:val="161616"/>
            <w:sz w:val="24"/>
            <w:szCs w:val="24"/>
            <w:u w:val="single"/>
            <w:lang w:eastAsia="fr-FR"/>
          </w:rPr>
          <w:t>Aides et financements</w:t>
        </w:r>
      </w:hyperlink>
    </w:p>
    <w:p w:rsidR="00360268" w:rsidRPr="00360268" w:rsidRDefault="00360268" w:rsidP="00360268">
      <w:pPr>
        <w:numPr>
          <w:ilvl w:val="1"/>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hyperlink r:id="rId11" w:anchor="consommation_1" w:history="1">
        <w:r w:rsidRPr="00360268">
          <w:rPr>
            <w:rFonts w:ascii="Arial" w:eastAsia="Times New Roman" w:hAnsi="Arial" w:cs="Arial"/>
            <w:color w:val="161616"/>
            <w:sz w:val="24"/>
            <w:szCs w:val="24"/>
            <w:u w:val="single"/>
            <w:lang w:eastAsia="fr-FR"/>
          </w:rPr>
          <w:t>Consommation</w:t>
        </w:r>
      </w:hyperlink>
    </w:p>
    <w:p w:rsidR="00360268" w:rsidRPr="00360268" w:rsidRDefault="00360268" w:rsidP="00360268">
      <w:pPr>
        <w:numPr>
          <w:ilvl w:val="1"/>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hyperlink r:id="rId12" w:anchor="autres-changements_1" w:history="1">
        <w:r w:rsidRPr="00360268">
          <w:rPr>
            <w:rFonts w:ascii="Arial" w:eastAsia="Times New Roman" w:hAnsi="Arial" w:cs="Arial"/>
            <w:color w:val="161616"/>
            <w:sz w:val="24"/>
            <w:szCs w:val="24"/>
            <w:u w:val="single"/>
            <w:lang w:eastAsia="fr-FR"/>
          </w:rPr>
          <w:t>Autres changements</w:t>
        </w:r>
      </w:hyperlink>
    </w:p>
    <w:p w:rsidR="00360268" w:rsidRPr="00360268" w:rsidRDefault="00360268" w:rsidP="00360268">
      <w:pPr>
        <w:numPr>
          <w:ilvl w:val="0"/>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hyperlink r:id="rId13" w:anchor="ce-qui-prend-fin-en-l-absence-d-_1" w:history="1">
        <w:r w:rsidRPr="00360268">
          <w:rPr>
            <w:rFonts w:ascii="Arial" w:eastAsia="Times New Roman" w:hAnsi="Arial" w:cs="Arial"/>
            <w:color w:val="161616"/>
            <w:sz w:val="24"/>
            <w:szCs w:val="24"/>
            <w:u w:val="single"/>
            <w:lang w:eastAsia="fr-FR"/>
          </w:rPr>
          <w:t>Ce qui prend fin en l’absence d’adoption d’une loi de finances pour 2026</w:t>
        </w:r>
      </w:hyperlink>
    </w:p>
    <w:p w:rsidR="00360268" w:rsidRPr="00360268" w:rsidRDefault="00360268" w:rsidP="00360268">
      <w:pPr>
        <w:numPr>
          <w:ilvl w:val="1"/>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hyperlink r:id="rId14" w:anchor="aides-et-financement_2" w:history="1">
        <w:r w:rsidRPr="00360268">
          <w:rPr>
            <w:rFonts w:ascii="Arial" w:eastAsia="Times New Roman" w:hAnsi="Arial" w:cs="Arial"/>
            <w:color w:val="161616"/>
            <w:sz w:val="24"/>
            <w:szCs w:val="24"/>
            <w:u w:val="single"/>
            <w:lang w:eastAsia="fr-FR"/>
          </w:rPr>
          <w:t>Aides et financement</w:t>
        </w:r>
      </w:hyperlink>
    </w:p>
    <w:p w:rsidR="00360268" w:rsidRPr="00360268" w:rsidRDefault="00360268" w:rsidP="00360268">
      <w:pPr>
        <w:numPr>
          <w:ilvl w:val="1"/>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hyperlink r:id="rId15" w:anchor="ressources-humaines_2" w:history="1">
        <w:r w:rsidRPr="00360268">
          <w:rPr>
            <w:rFonts w:ascii="Arial" w:eastAsia="Times New Roman" w:hAnsi="Arial" w:cs="Arial"/>
            <w:color w:val="161616"/>
            <w:sz w:val="24"/>
            <w:szCs w:val="24"/>
            <w:u w:val="single"/>
            <w:lang w:eastAsia="fr-FR"/>
          </w:rPr>
          <w:t>Ressources humaines</w:t>
        </w:r>
      </w:hyperlink>
    </w:p>
    <w:p w:rsidR="00360268" w:rsidRPr="00360268" w:rsidRDefault="00360268" w:rsidP="00360268">
      <w:pPr>
        <w:numPr>
          <w:ilvl w:val="1"/>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hyperlink r:id="rId16" w:anchor="taxes-et-imposition_2" w:history="1">
        <w:r w:rsidRPr="00360268">
          <w:rPr>
            <w:rFonts w:ascii="Arial" w:eastAsia="Times New Roman" w:hAnsi="Arial" w:cs="Arial"/>
            <w:color w:val="161616"/>
            <w:sz w:val="24"/>
            <w:szCs w:val="24"/>
            <w:u w:val="single"/>
            <w:lang w:eastAsia="fr-FR"/>
          </w:rPr>
          <w:t>Taxes et imposition</w:t>
        </w:r>
      </w:hyperlink>
    </w:p>
    <w:p w:rsidR="00360268" w:rsidRPr="00360268" w:rsidRDefault="00360268" w:rsidP="00360268">
      <w:pPr>
        <w:numPr>
          <w:ilvl w:val="0"/>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hyperlink r:id="rId17" w:anchor="-ces-contenus-peuvent-aussi-vous_2" w:history="1">
        <w:r w:rsidRPr="00360268">
          <w:rPr>
            <w:rFonts w:ascii="Arial" w:eastAsia="Times New Roman" w:hAnsi="Arial" w:cs="Arial"/>
            <w:color w:val="161616"/>
            <w:sz w:val="24"/>
            <w:szCs w:val="24"/>
            <w:u w:val="single"/>
            <w:lang w:eastAsia="fr-FR"/>
          </w:rPr>
          <w:t>Ces contenus peuvent aussi vous intéresser</w:t>
        </w:r>
      </w:hyperlink>
    </w:p>
    <w:p w:rsidR="00360268" w:rsidRPr="00360268" w:rsidRDefault="00360268" w:rsidP="00360268">
      <w:pPr>
        <w:numPr>
          <w:ilvl w:val="0"/>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hyperlink r:id="rId18" w:anchor="-aller-plus-loin-_3" w:history="1">
        <w:r w:rsidRPr="00360268">
          <w:rPr>
            <w:rFonts w:ascii="Arial" w:eastAsia="Times New Roman" w:hAnsi="Arial" w:cs="Arial"/>
            <w:color w:val="161616"/>
            <w:sz w:val="24"/>
            <w:szCs w:val="24"/>
            <w:u w:val="single"/>
            <w:lang w:eastAsia="fr-FR"/>
          </w:rPr>
          <w:t>Aller plus loin</w:t>
        </w:r>
      </w:hyperlink>
    </w:p>
    <w:p w:rsidR="00360268" w:rsidRPr="00360268" w:rsidRDefault="00360268" w:rsidP="00360268">
      <w:pPr>
        <w:numPr>
          <w:ilvl w:val="0"/>
          <w:numId w:val="2"/>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hyperlink r:id="rId19" w:anchor="-ce-que-dit-la-loi-_4" w:history="1">
        <w:r w:rsidRPr="00360268">
          <w:rPr>
            <w:rFonts w:ascii="Arial" w:eastAsia="Times New Roman" w:hAnsi="Arial" w:cs="Arial"/>
            <w:color w:val="161616"/>
            <w:sz w:val="24"/>
            <w:szCs w:val="24"/>
            <w:u w:val="single"/>
            <w:lang w:eastAsia="fr-FR"/>
          </w:rPr>
          <w:t>Ce que dit la loi</w:t>
        </w:r>
      </w:hyperlink>
    </w:p>
    <w:p w:rsidR="00360268" w:rsidRPr="00360268" w:rsidRDefault="00360268" w:rsidP="00360268">
      <w:pPr>
        <w:shd w:val="clear" w:color="auto" w:fill="FFFFFF"/>
        <w:spacing w:after="360" w:line="240" w:lineRule="auto"/>
        <w:outlineLvl w:val="1"/>
        <w:rPr>
          <w:rFonts w:ascii="Arial" w:eastAsia="Times New Roman" w:hAnsi="Arial" w:cs="Arial"/>
          <w:b/>
          <w:bCs/>
          <w:color w:val="161616"/>
          <w:sz w:val="28"/>
          <w:szCs w:val="28"/>
          <w:lang w:eastAsia="fr-FR"/>
        </w:rPr>
      </w:pPr>
      <w:r w:rsidRPr="00360268">
        <w:rPr>
          <w:rFonts w:ascii="Arial" w:eastAsia="Times New Roman" w:hAnsi="Arial" w:cs="Arial"/>
          <w:b/>
          <w:bCs/>
          <w:color w:val="161616"/>
          <w:sz w:val="28"/>
          <w:szCs w:val="28"/>
          <w:lang w:eastAsia="fr-FR"/>
        </w:rPr>
        <w:t>Ce qui change par la loi et les décrets</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De nouvelles règles entrent en vigueur au 1er janvier 2026 grâce à des lois ou des décrets déjà existants. Ces mesures sont décorrélées de l’absence de vote de loi de finances pour 2026.</w:t>
      </w:r>
    </w:p>
    <w:p w:rsidR="00360268" w:rsidRPr="00456F36" w:rsidRDefault="00360268" w:rsidP="00360268">
      <w:pPr>
        <w:shd w:val="clear" w:color="auto" w:fill="FFFFFF"/>
        <w:spacing w:after="360" w:line="240" w:lineRule="auto"/>
        <w:outlineLvl w:val="2"/>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Travail</w:t>
      </w:r>
    </w:p>
    <w:p w:rsidR="00360268" w:rsidRPr="00360268" w:rsidRDefault="00360268" w:rsidP="00360268">
      <w:pPr>
        <w:shd w:val="clear" w:color="auto" w:fill="FFFFFF"/>
        <w:spacing w:after="360" w:line="240" w:lineRule="auto"/>
        <w:outlineLvl w:val="2"/>
        <w:rPr>
          <w:rFonts w:ascii="Arial" w:eastAsia="Times New Roman" w:hAnsi="Arial" w:cs="Arial"/>
          <w:b/>
          <w:bCs/>
          <w:color w:val="161616"/>
          <w:sz w:val="27"/>
          <w:szCs w:val="27"/>
          <w:lang w:eastAsia="fr-FR"/>
        </w:rPr>
      </w:pPr>
      <w:r w:rsidRPr="00360268">
        <w:rPr>
          <w:rFonts w:ascii="Arial" w:eastAsia="Times New Roman" w:hAnsi="Arial" w:cs="Arial"/>
          <w:b/>
          <w:bCs/>
          <w:color w:val="161616"/>
          <w:sz w:val="24"/>
          <w:szCs w:val="24"/>
          <w:lang w:eastAsia="fr-FR"/>
        </w:rPr>
        <w:t>Revalorisation du Smic</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Roboto" w:eastAsia="Times New Roman" w:hAnsi="Roboto" w:cs="Arial"/>
          <w:b/>
          <w:bCs/>
          <w:color w:val="3A3A3A"/>
          <w:sz w:val="24"/>
          <w:szCs w:val="24"/>
          <w:lang w:eastAsia="fr-FR"/>
        </w:rPr>
        <w:t>Le salaire minimum interprofessionnel de croissance (Smic) est revalorisé de 1,18 % à compter du 1er janvier 2026.</w:t>
      </w:r>
      <w:r w:rsidRPr="00360268">
        <w:rPr>
          <w:rFonts w:ascii="Arial" w:eastAsia="Times New Roman" w:hAnsi="Arial" w:cs="Arial"/>
          <w:color w:val="3A3A3A"/>
          <w:sz w:val="24"/>
          <w:szCs w:val="24"/>
          <w:lang w:eastAsia="fr-FR"/>
        </w:rPr>
        <w:br/>
        <w:t>Voici les nouveaux montants du Smic :</w:t>
      </w:r>
    </w:p>
    <w:p w:rsidR="00360268" w:rsidRPr="00360268" w:rsidRDefault="00360268" w:rsidP="00360268">
      <w:pPr>
        <w:numPr>
          <w:ilvl w:val="0"/>
          <w:numId w:val="3"/>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Smic horaire brut : 12,02 euros,</w:t>
      </w:r>
    </w:p>
    <w:p w:rsidR="00360268" w:rsidRPr="00360268" w:rsidRDefault="00360268" w:rsidP="00360268">
      <w:pPr>
        <w:numPr>
          <w:ilvl w:val="0"/>
          <w:numId w:val="3"/>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Smic mensuel brut : 1 823,03 euros,</w:t>
      </w:r>
    </w:p>
    <w:p w:rsidR="00360268" w:rsidRPr="00360268" w:rsidRDefault="00360268" w:rsidP="00360268">
      <w:pPr>
        <w:numPr>
          <w:ilvl w:val="0"/>
          <w:numId w:val="3"/>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Smic mensuel net : 1 443,11 euros.</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Ces dispositions s’appliquent en métropole ainsi que dans les départements et collectivités d’outre</w:t>
      </w:r>
      <w:r>
        <w:rPr>
          <w:rFonts w:ascii="Arial" w:eastAsia="Times New Roman" w:hAnsi="Arial" w:cs="Arial"/>
          <w:color w:val="3A3A3A"/>
          <w:sz w:val="24"/>
          <w:szCs w:val="24"/>
          <w:lang w:eastAsia="fr-FR"/>
        </w:rPr>
        <w:t>-</w:t>
      </w:r>
      <w:r w:rsidRPr="00360268">
        <w:rPr>
          <w:rFonts w:ascii="Arial" w:eastAsia="Times New Roman" w:hAnsi="Arial" w:cs="Arial"/>
          <w:color w:val="3A3A3A"/>
          <w:sz w:val="24"/>
          <w:szCs w:val="24"/>
          <w:lang w:eastAsia="fr-FR"/>
        </w:rPr>
        <w:t>mer (hors Mayotte).</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Gratification de stage</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lastRenderedPageBreak/>
        <w:t>À partir du 1er janvier 2026, la gratification minimale accordée aux stagiaires augmente : elle passe de </w:t>
      </w:r>
      <w:r w:rsidRPr="00360268">
        <w:rPr>
          <w:rFonts w:ascii="Roboto" w:eastAsia="Times New Roman" w:hAnsi="Roboto" w:cs="Arial"/>
          <w:b/>
          <w:bCs/>
          <w:color w:val="3A3A3A"/>
          <w:sz w:val="24"/>
          <w:szCs w:val="24"/>
          <w:lang w:eastAsia="fr-FR"/>
        </w:rPr>
        <w:t>4,35 à 4,50 euros par heure</w:t>
      </w:r>
      <w:r w:rsidRPr="00360268">
        <w:rPr>
          <w:rFonts w:ascii="Arial" w:eastAsia="Times New Roman" w:hAnsi="Arial" w:cs="Arial"/>
          <w:color w:val="3A3A3A"/>
          <w:sz w:val="24"/>
          <w:szCs w:val="24"/>
          <w:lang w:eastAsia="fr-FR"/>
        </w:rPr>
        <w:t>. Cela représente 15 % du nouveau plafond horaire de la Sécurité sociale.</w:t>
      </w:r>
    </w:p>
    <w:p w:rsidR="00360268" w:rsidRPr="00360268" w:rsidRDefault="00360268" w:rsidP="00360268">
      <w:pPr>
        <w:shd w:val="clear" w:color="auto" w:fill="FFFFFF"/>
        <w:spacing w:after="360" w:line="240" w:lineRule="auto"/>
        <w:outlineLvl w:val="2"/>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Cotisations</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Refonte de la réduction générale des cotisations patronales</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La réduction générale des cotisations patronales est réformée au 1er janvier 2026. Ainsi, à compter de cette date, </w:t>
      </w:r>
      <w:r w:rsidRPr="00360268">
        <w:rPr>
          <w:rFonts w:ascii="Roboto" w:eastAsia="Times New Roman" w:hAnsi="Roboto" w:cs="Arial"/>
          <w:b/>
          <w:bCs/>
          <w:color w:val="3A3A3A"/>
          <w:sz w:val="24"/>
          <w:szCs w:val="24"/>
          <w:lang w:eastAsia="fr-FR"/>
        </w:rPr>
        <w:t>les modalités de calcul seront modifiées</w:t>
      </w:r>
      <w:r w:rsidRPr="00360268">
        <w:rPr>
          <w:rFonts w:ascii="Arial" w:eastAsia="Times New Roman" w:hAnsi="Arial" w:cs="Arial"/>
          <w:color w:val="3A3A3A"/>
          <w:sz w:val="24"/>
          <w:szCs w:val="24"/>
          <w:lang w:eastAsia="fr-FR"/>
        </w:rPr>
        <w:t> afin de tenir compte de la suppression des taux réduits des cotisations d’assurance maladie et d’allocations familiales.</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Ces changements sont prévus par la </w:t>
      </w:r>
      <w:hyperlink r:id="rId20" w:tgtFrame="_blank" w:tooltip="Lien externe - loi de financement de la sécurité sociale pour 2025 - Dans un nouvel onglet (ouvrir dans une nouvelle fenêtre)" w:history="1">
        <w:r w:rsidRPr="00360268">
          <w:rPr>
            <w:rFonts w:ascii="Arial" w:eastAsia="Times New Roman" w:hAnsi="Arial" w:cs="Arial"/>
            <w:color w:val="0000FF"/>
            <w:sz w:val="24"/>
            <w:szCs w:val="24"/>
            <w:u w:val="single"/>
            <w:lang w:eastAsia="fr-FR"/>
          </w:rPr>
          <w:t>loi de financement de la sécurité sociale pour 2025</w:t>
        </w:r>
      </w:hyperlink>
      <w:r w:rsidRPr="00360268">
        <w:rPr>
          <w:rFonts w:ascii="Arial" w:eastAsia="Times New Roman" w:hAnsi="Arial" w:cs="Arial"/>
          <w:color w:val="3A3A3A"/>
          <w:sz w:val="24"/>
          <w:szCs w:val="24"/>
          <w:lang w:eastAsia="fr-FR"/>
        </w:rPr>
        <w:t> et précisés dans le </w:t>
      </w:r>
      <w:hyperlink r:id="rId21" w:tgtFrame="_blank" w:tooltip="Lien externe - décret du 4 septembre 2025 - Dans un nouvel onglet (ouvrir dans une nouvelle fenêtre)" w:history="1">
        <w:r w:rsidRPr="00360268">
          <w:rPr>
            <w:rFonts w:ascii="Arial" w:eastAsia="Times New Roman" w:hAnsi="Arial" w:cs="Arial"/>
            <w:color w:val="0000FF"/>
            <w:sz w:val="24"/>
            <w:szCs w:val="24"/>
            <w:u w:val="single"/>
            <w:lang w:eastAsia="fr-FR"/>
          </w:rPr>
          <w:t>décret du 4 septembre 2025</w:t>
        </w:r>
      </w:hyperlink>
      <w:r w:rsidRPr="00360268">
        <w:rPr>
          <w:rFonts w:ascii="Arial" w:eastAsia="Times New Roman" w:hAnsi="Arial" w:cs="Arial"/>
          <w:color w:val="3A3A3A"/>
          <w:sz w:val="24"/>
          <w:szCs w:val="24"/>
          <w:lang w:eastAsia="fr-FR"/>
        </w:rPr>
        <w:t>.</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Nouveau plafond annuel de la Sécurité sociale (Pass)</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Roboto" w:eastAsia="Times New Roman" w:hAnsi="Roboto" w:cs="Arial"/>
          <w:b/>
          <w:bCs/>
          <w:color w:val="3A3A3A"/>
          <w:sz w:val="24"/>
          <w:szCs w:val="24"/>
          <w:lang w:eastAsia="fr-FR"/>
        </w:rPr>
        <w:t>Au 1er janvier 2026, le plafond annuel de la Sécurité sociale (Pass) s’élève à 48 060 euros, soit une hausse de 2 %.</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Pour les employeurs, le Pass sert notamment à calculer :</w:t>
      </w:r>
    </w:p>
    <w:p w:rsidR="00360268" w:rsidRPr="00360268" w:rsidRDefault="00360268" w:rsidP="00360268">
      <w:pPr>
        <w:numPr>
          <w:ilvl w:val="0"/>
          <w:numId w:val="4"/>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les cotisations sociales sur le salaire, l'assurance vieillesse, le chômage, les régimes complémentaires de retraite,</w:t>
      </w:r>
    </w:p>
    <w:p w:rsidR="00360268" w:rsidRPr="00360268" w:rsidRDefault="00360268" w:rsidP="00360268">
      <w:pPr>
        <w:numPr>
          <w:ilvl w:val="0"/>
          <w:numId w:val="4"/>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les seuils d'exonération fiscale et sociale des indemnités de rupture,</w:t>
      </w:r>
    </w:p>
    <w:p w:rsidR="00360268" w:rsidRPr="00360268" w:rsidRDefault="00360268" w:rsidP="00360268">
      <w:pPr>
        <w:numPr>
          <w:ilvl w:val="0"/>
          <w:numId w:val="4"/>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les indemnités concernant les stages en entreprise des étudiants.</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Heures supplémentaires : élargissement du mécanisme de déduction forfaitaire de cotisations patronales</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La loi de financement de la Sécurité sociale pour 2026 étend la déduction forfaitaire de cotisations patronales sur les heures supplémentaires</w:t>
      </w:r>
      <w:r w:rsidRPr="00360268">
        <w:rPr>
          <w:rFonts w:ascii="Roboto" w:eastAsia="Times New Roman" w:hAnsi="Roboto" w:cs="Arial"/>
          <w:b/>
          <w:bCs/>
          <w:color w:val="3A3A3A"/>
          <w:sz w:val="24"/>
          <w:szCs w:val="24"/>
          <w:lang w:eastAsia="fr-FR"/>
        </w:rPr>
        <w:t> aux entreprises de plus de 250 salariés</w:t>
      </w:r>
      <w:r w:rsidRPr="00360268">
        <w:rPr>
          <w:rFonts w:ascii="Arial" w:eastAsia="Times New Roman" w:hAnsi="Arial" w:cs="Arial"/>
          <w:color w:val="3A3A3A"/>
          <w:sz w:val="24"/>
          <w:szCs w:val="24"/>
          <w:lang w:eastAsia="fr-FR"/>
        </w:rPr>
        <w:t>, à compter du 1er janvier 2026.</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 xml:space="preserve">La déduction forfaitaire de cotisations patronales par heure supplémentaire s’élève à </w:t>
      </w:r>
    </w:p>
    <w:p w:rsidR="00360268" w:rsidRPr="00360268" w:rsidRDefault="00360268" w:rsidP="00360268">
      <w:pPr>
        <w:numPr>
          <w:ilvl w:val="0"/>
          <w:numId w:val="5"/>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1,5€ par heure supplémentaire pour les entreprises de moins de 20 salariés,</w:t>
      </w:r>
    </w:p>
    <w:p w:rsidR="00360268" w:rsidRPr="00360268" w:rsidRDefault="00360268" w:rsidP="00360268">
      <w:pPr>
        <w:numPr>
          <w:ilvl w:val="0"/>
          <w:numId w:val="5"/>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0,5€ par heure supplémentaire pour les entreprises de plus de 20 salariés.</w:t>
      </w:r>
    </w:p>
    <w:p w:rsidR="00360268" w:rsidRPr="00360268" w:rsidRDefault="00360268" w:rsidP="00360268">
      <w:pPr>
        <w:shd w:val="clear" w:color="auto" w:fill="FFFFFF"/>
        <w:spacing w:after="360" w:line="240" w:lineRule="auto"/>
        <w:outlineLvl w:val="2"/>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Ressources humaines</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Création d'un congé supplémentaire de naissance</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Un congé supplémentaire de naissance est institué par la loi de financement de la Sécurité sociale.</w:t>
      </w:r>
      <w:r w:rsidRPr="00360268">
        <w:rPr>
          <w:rFonts w:ascii="Roboto" w:eastAsia="Times New Roman" w:hAnsi="Roboto" w:cs="Arial"/>
          <w:b/>
          <w:bCs/>
          <w:color w:val="3A3A3A"/>
          <w:sz w:val="24"/>
          <w:szCs w:val="24"/>
          <w:lang w:eastAsia="fr-FR"/>
        </w:rPr>
        <w:t xml:space="preserve"> Il s’applique aux naissances et adoptions à compter du 1er janvier </w:t>
      </w:r>
      <w:r w:rsidRPr="00360268">
        <w:rPr>
          <w:rFonts w:ascii="Roboto" w:eastAsia="Times New Roman" w:hAnsi="Roboto" w:cs="Arial"/>
          <w:b/>
          <w:bCs/>
          <w:color w:val="3A3A3A"/>
          <w:sz w:val="24"/>
          <w:szCs w:val="24"/>
          <w:lang w:eastAsia="fr-FR"/>
        </w:rPr>
        <w:lastRenderedPageBreak/>
        <w:t>2026</w:t>
      </w:r>
      <w:r w:rsidRPr="00360268">
        <w:rPr>
          <w:rFonts w:ascii="Arial" w:eastAsia="Times New Roman" w:hAnsi="Arial" w:cs="Arial"/>
          <w:color w:val="3A3A3A"/>
          <w:sz w:val="24"/>
          <w:szCs w:val="24"/>
          <w:lang w:eastAsia="fr-FR"/>
        </w:rPr>
        <w:t>, ainsi que pour les enfants nés avant mais dont la naissance était initialement prévue à partir de cette date.</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Concrètement, les parents bénéficient </w:t>
      </w:r>
      <w:r w:rsidRPr="00360268">
        <w:rPr>
          <w:rFonts w:ascii="Roboto" w:eastAsia="Times New Roman" w:hAnsi="Roboto" w:cs="Arial"/>
          <w:b/>
          <w:bCs/>
          <w:color w:val="3A3A3A"/>
          <w:sz w:val="24"/>
          <w:szCs w:val="24"/>
          <w:lang w:eastAsia="fr-FR"/>
        </w:rPr>
        <w:t>d’un temps supplémentaire d’interruption d’activité</w:t>
      </w:r>
      <w:r w:rsidRPr="00360268">
        <w:rPr>
          <w:rFonts w:ascii="Arial" w:eastAsia="Times New Roman" w:hAnsi="Arial" w:cs="Arial"/>
          <w:color w:val="3A3A3A"/>
          <w:sz w:val="24"/>
          <w:szCs w:val="24"/>
          <w:lang w:eastAsia="fr-FR"/>
        </w:rPr>
        <w:t> après la naissance ou l’adoption, juridiquement protégé et indemnisé.</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Roboto" w:eastAsia="Times New Roman" w:hAnsi="Roboto" w:cs="Arial"/>
          <w:b/>
          <w:bCs/>
          <w:color w:val="3A3A3A"/>
          <w:sz w:val="24"/>
          <w:szCs w:val="24"/>
          <w:lang w:eastAsia="fr-FR"/>
        </w:rPr>
        <w:t>Les employeurs doivent intégrer dans leur gestion des ressources humaines une nouvelle période d’absence protégée</w:t>
      </w:r>
      <w:r w:rsidRPr="00360268">
        <w:rPr>
          <w:rFonts w:ascii="Arial" w:eastAsia="Times New Roman" w:hAnsi="Arial" w:cs="Arial"/>
          <w:color w:val="3A3A3A"/>
          <w:sz w:val="24"/>
          <w:szCs w:val="24"/>
          <w:lang w:eastAsia="fr-FR"/>
        </w:rPr>
        <w:t>, avec les obligations corrélatives en matière de retour à l’emploi et d’organisation du travail.</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Hausse de la contribution employeurs sur les indemnités de rupture</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À compter du 1er janvier 2026, la loi de financement de la Sécurité sociale relève la contribution patronale applicable aux indemnités de rupture conventionnelle et de mise à la retraite. </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Roboto" w:eastAsia="Times New Roman" w:hAnsi="Roboto" w:cs="Arial"/>
          <w:b/>
          <w:bCs/>
          <w:color w:val="3A3A3A"/>
          <w:sz w:val="24"/>
          <w:szCs w:val="24"/>
          <w:lang w:eastAsia="fr-FR"/>
        </w:rPr>
        <w:t>Elle passe de 30 % à 40 % </w:t>
      </w:r>
      <w:r w:rsidRPr="00360268">
        <w:rPr>
          <w:rFonts w:ascii="Arial" w:eastAsia="Times New Roman" w:hAnsi="Arial" w:cs="Arial"/>
          <w:color w:val="3A3A3A"/>
          <w:sz w:val="24"/>
          <w:szCs w:val="24"/>
          <w:lang w:eastAsia="fr-FR"/>
        </w:rPr>
        <w:t>sur la part des indemnités exonérées de cotisations de Sécurité sociale.</w:t>
      </w:r>
    </w:p>
    <w:p w:rsidR="00360268" w:rsidRPr="00360268" w:rsidRDefault="00360268" w:rsidP="00360268">
      <w:pPr>
        <w:shd w:val="clear" w:color="auto" w:fill="FFFFFF"/>
        <w:spacing w:after="360" w:line="240" w:lineRule="auto"/>
        <w:outlineLvl w:val="2"/>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Taxes et imposition</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Nouveaux taux de versement mobilité</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Le versement mobilité est une contribution due par les entreprises de plus de 10 salariés pour financer les transports en commun.</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Les taux du versement mobilité sont réévalués deux fois par an : le 1er janvier et le 1er juillet. Ainsi, </w:t>
      </w:r>
      <w:r w:rsidRPr="00360268">
        <w:rPr>
          <w:rFonts w:ascii="Roboto" w:eastAsia="Times New Roman" w:hAnsi="Roboto" w:cs="Arial"/>
          <w:b/>
          <w:bCs/>
          <w:color w:val="3A3A3A"/>
          <w:sz w:val="24"/>
          <w:szCs w:val="24"/>
          <w:lang w:eastAsia="fr-FR"/>
        </w:rPr>
        <w:t>au 1er janvier 2026, les taux évoluent.</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Aussi, la loi de finances pour 2025 a instauré la possibilité de</w:t>
      </w:r>
      <w:r w:rsidRPr="00360268">
        <w:rPr>
          <w:rFonts w:ascii="Roboto" w:eastAsia="Times New Roman" w:hAnsi="Roboto" w:cs="Arial"/>
          <w:b/>
          <w:bCs/>
          <w:color w:val="3A3A3A"/>
          <w:sz w:val="24"/>
          <w:szCs w:val="24"/>
          <w:lang w:eastAsia="fr-FR"/>
        </w:rPr>
        <w:t> mettre en place un versement mobilité régional et rural (VMRR). De nouvelles régions appliqueront donc le versement mobilité au 1er janvier 2026.</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Mise en place d’un malus seniors employeurs</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Un malus sur les cotisations patronales dues au titre de l’assurance vieillesse et de l’assurance veuvage est instauré pour les </w:t>
      </w:r>
      <w:r w:rsidRPr="00360268">
        <w:rPr>
          <w:rFonts w:ascii="Roboto" w:eastAsia="Times New Roman" w:hAnsi="Roboto" w:cs="Arial"/>
          <w:b/>
          <w:bCs/>
          <w:color w:val="3A3A3A"/>
          <w:sz w:val="24"/>
          <w:szCs w:val="24"/>
          <w:lang w:eastAsia="fr-FR"/>
        </w:rPr>
        <w:t>entreprises privées employant au moins 300 salariés en l’absence de négociation collective.</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Les grandes entreprises paieront ainsi des cotisations sociales supplémentaires sur la branche vieillesse si elles ne mettent pas en place de mesures actives pour embaucher et retenir les seniors (55 ans et plus).</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Roboto" w:eastAsia="Times New Roman" w:hAnsi="Roboto" w:cs="Arial"/>
          <w:b/>
          <w:bCs/>
          <w:color w:val="3A3A3A"/>
          <w:sz w:val="24"/>
          <w:szCs w:val="24"/>
          <w:lang w:eastAsia="fr-FR"/>
        </w:rPr>
        <w:t>Le montant exact du malus et ses critères seront précisés par décret.</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lastRenderedPageBreak/>
        <w:t>Mise en place du mécanisme d’ajustement carbone aux frontières (MACF)</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hyperlink r:id="rId22" w:tgtFrame="_blank" w:tooltip="(Lien externe - Le mécanisme d’ajustement carbone aux frontières MACF - CBAM en anglais - Dans un nouvel onglet, ouvrir dans une nouvelle fenêtre)" w:history="1">
        <w:r w:rsidRPr="00360268">
          <w:rPr>
            <w:rFonts w:ascii="Arial" w:eastAsia="Times New Roman" w:hAnsi="Arial" w:cs="Arial"/>
            <w:color w:val="0000FF"/>
            <w:sz w:val="24"/>
            <w:szCs w:val="24"/>
            <w:u w:val="single"/>
            <w:lang w:eastAsia="fr-FR"/>
          </w:rPr>
          <w:t>Le mécanisme d’ajustement carbone aux frontières (MACF - CBAM en anglais)</w:t>
        </w:r>
      </w:hyperlink>
      <w:r w:rsidRPr="00360268">
        <w:rPr>
          <w:rFonts w:ascii="Arial" w:eastAsia="Times New Roman" w:hAnsi="Arial" w:cs="Arial"/>
          <w:color w:val="3A3A3A"/>
          <w:sz w:val="24"/>
          <w:szCs w:val="24"/>
          <w:lang w:eastAsia="fr-FR"/>
        </w:rPr>
        <w:t> vise à contrer les éventuelles stratégies d’évitement face à la politique climatique volontariste de l’Union européenne, notamment </w:t>
      </w:r>
      <w:r w:rsidRPr="00360268">
        <w:rPr>
          <w:rFonts w:ascii="Roboto" w:eastAsia="Times New Roman" w:hAnsi="Roboto" w:cs="Arial"/>
          <w:b/>
          <w:bCs/>
          <w:color w:val="3A3A3A"/>
          <w:sz w:val="24"/>
          <w:szCs w:val="24"/>
          <w:lang w:eastAsia="fr-FR"/>
        </w:rPr>
        <w:t>le phénomène de « fuite de carbone ».</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Roboto" w:eastAsia="Times New Roman" w:hAnsi="Roboto" w:cs="Arial"/>
          <w:b/>
          <w:bCs/>
          <w:color w:val="3A3A3A"/>
          <w:sz w:val="24"/>
          <w:szCs w:val="24"/>
          <w:lang w:eastAsia="fr-FR"/>
        </w:rPr>
        <w:t>Ce mécanisme entre dans sa phase définitive au 1er janvier 2026.</w:t>
      </w:r>
      <w:r w:rsidRPr="00360268">
        <w:rPr>
          <w:rFonts w:ascii="Arial" w:eastAsia="Times New Roman" w:hAnsi="Arial" w:cs="Arial"/>
          <w:color w:val="3A3A3A"/>
          <w:sz w:val="24"/>
          <w:szCs w:val="24"/>
          <w:lang w:eastAsia="fr-FR"/>
        </w:rPr>
        <w:t> À partir de cette date, plusieurs obligations et procédures entrent en vigueur pour les acteurs économiques</w:t>
      </w:r>
      <w:hyperlink r:id="rId23" w:tgtFrame="_blank" w:tooltip=" (identifiés par leur numéro EORI) - Dans un nouvel onglet" w:history="1">
        <w:r w:rsidRPr="00360268">
          <w:rPr>
            <w:rFonts w:ascii="Arial" w:eastAsia="Times New Roman" w:hAnsi="Arial" w:cs="Arial"/>
            <w:color w:val="0000FF"/>
            <w:sz w:val="24"/>
            <w:szCs w:val="24"/>
            <w:u w:val="single"/>
            <w:lang w:eastAsia="fr-FR"/>
          </w:rPr>
          <w:t> (identifiés par leur numéro EORI)</w:t>
        </w:r>
      </w:hyperlink>
      <w:r w:rsidRPr="00360268">
        <w:rPr>
          <w:rFonts w:ascii="Arial" w:eastAsia="Times New Roman" w:hAnsi="Arial" w:cs="Arial"/>
          <w:color w:val="3A3A3A"/>
          <w:sz w:val="24"/>
          <w:szCs w:val="24"/>
          <w:lang w:eastAsia="fr-FR"/>
        </w:rPr>
        <w:t> responsables de la mise en libre pratique de </w:t>
      </w:r>
      <w:hyperlink r:id="rId24" w:anchor="d1e32-90-1%20" w:tgtFrame="_blank" w:tooltip="Lien externe - certains produits - Dans un nouvel onglet (ouvrir dans une nouvelle fenêtre)" w:history="1">
        <w:r w:rsidRPr="00360268">
          <w:rPr>
            <w:rFonts w:ascii="Arial" w:eastAsia="Times New Roman" w:hAnsi="Arial" w:cs="Arial"/>
            <w:color w:val="0000FF"/>
            <w:sz w:val="24"/>
            <w:szCs w:val="24"/>
            <w:u w:val="single"/>
            <w:lang w:eastAsia="fr-FR"/>
          </w:rPr>
          <w:t>certains produits</w:t>
        </w:r>
      </w:hyperlink>
      <w:r w:rsidRPr="00360268">
        <w:rPr>
          <w:rFonts w:ascii="Arial" w:eastAsia="Times New Roman" w:hAnsi="Arial" w:cs="Arial"/>
          <w:color w:val="3A3A3A"/>
          <w:sz w:val="24"/>
          <w:szCs w:val="24"/>
          <w:lang w:eastAsia="fr-FR"/>
        </w:rPr>
        <w:t> dans le territoire douanier de l’Union européenne.</w:t>
      </w:r>
      <w:r w:rsidRPr="00360268">
        <w:rPr>
          <w:rFonts w:ascii="Arial" w:eastAsia="Times New Roman" w:hAnsi="Arial" w:cs="Arial"/>
          <w:color w:val="3A3A3A"/>
          <w:sz w:val="24"/>
          <w:szCs w:val="24"/>
          <w:lang w:eastAsia="fr-FR"/>
        </w:rPr>
        <w:br/>
        <w:t> </w:t>
      </w:r>
    </w:p>
    <w:p w:rsidR="00360268" w:rsidRPr="00360268" w:rsidRDefault="00360268" w:rsidP="00360268">
      <w:pPr>
        <w:shd w:val="clear" w:color="auto" w:fill="FFFFFF"/>
        <w:spacing w:after="360" w:line="240" w:lineRule="auto"/>
        <w:outlineLvl w:val="2"/>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Aides et financements</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Plafonnement des exonérations pour embauches en métiers en tension ou zones aidées</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Au 1er janvier 2026, les entreprises qui recrutent des salariés exerçant des métiers en tension ou en pénurie (hors travailleurs indépendants libéraux spécifiques) ainsi que les entreprises créées ou reprises dans les communes des zones en difficulté économique (bassins d’emploi à redynamiser, zone France ruralités revitalisation…) voient </w:t>
      </w:r>
      <w:r w:rsidRPr="00360268">
        <w:rPr>
          <w:rFonts w:ascii="Roboto" w:eastAsia="Times New Roman" w:hAnsi="Roboto" w:cs="Arial"/>
          <w:b/>
          <w:bCs/>
          <w:color w:val="3A3A3A"/>
          <w:sz w:val="24"/>
          <w:szCs w:val="24"/>
          <w:lang w:eastAsia="fr-FR"/>
        </w:rPr>
        <w:t>leur exonération de cotisations patronales plafonnée à 25 % pour des embauches ciblées.</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Contrairement à la nouvelle règle qui plafonne à 25 % les exonérations sur cotisations patronales en zones sous tension (difficultés de recrutement),</w:t>
      </w:r>
      <w:r w:rsidRPr="00360268">
        <w:rPr>
          <w:rFonts w:ascii="Roboto" w:eastAsia="Times New Roman" w:hAnsi="Roboto" w:cs="Arial"/>
          <w:b/>
          <w:bCs/>
          <w:color w:val="3A3A3A"/>
          <w:sz w:val="24"/>
          <w:szCs w:val="24"/>
          <w:lang w:eastAsia="fr-FR"/>
        </w:rPr>
        <w:t> l'ancien système sans plafonnement est conservé pour les exploitants agricoles.</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Cela permet de maintenir un niveau d’allégement de charges plus élevé que pour les autres employeurs.</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Réforme du dispositif de l’Aide à la création et à la reprise d’entreprise (ACRE)</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La loi de financement de la Sécurité sociale pour 2026 réforme le dispositif ACRE à partir du 1er janvier 2026. L’aide à la création ou reprise d’entreprise est </w:t>
      </w:r>
      <w:r w:rsidRPr="00360268">
        <w:rPr>
          <w:rFonts w:ascii="Roboto" w:eastAsia="Times New Roman" w:hAnsi="Roboto" w:cs="Arial"/>
          <w:b/>
          <w:bCs/>
          <w:color w:val="3A3A3A"/>
          <w:sz w:val="24"/>
          <w:szCs w:val="24"/>
          <w:lang w:eastAsia="fr-FR"/>
        </w:rPr>
        <w:t>recentré sur les demandeurs d’emploi et les personnes les plus vulnérables</w:t>
      </w:r>
      <w:r w:rsidRPr="00360268">
        <w:rPr>
          <w:rFonts w:ascii="Arial" w:eastAsia="Times New Roman" w:hAnsi="Arial" w:cs="Arial"/>
          <w:color w:val="3A3A3A"/>
          <w:sz w:val="24"/>
          <w:szCs w:val="24"/>
          <w:lang w:eastAsia="fr-FR"/>
        </w:rPr>
        <w:t>. </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Enfin,</w:t>
      </w:r>
      <w:r w:rsidRPr="00360268">
        <w:rPr>
          <w:rFonts w:ascii="Roboto" w:eastAsia="Times New Roman" w:hAnsi="Roboto" w:cs="Arial"/>
          <w:b/>
          <w:bCs/>
          <w:color w:val="3A3A3A"/>
          <w:sz w:val="24"/>
          <w:szCs w:val="24"/>
          <w:lang w:eastAsia="fr-FR"/>
        </w:rPr>
        <w:t> l’exonération de cotisations sociales sur les revenus inférieurs à 75 % du PASS n’est plus totale</w:t>
      </w:r>
      <w:r w:rsidRPr="00360268">
        <w:rPr>
          <w:rFonts w:ascii="Arial" w:eastAsia="Times New Roman" w:hAnsi="Arial" w:cs="Arial"/>
          <w:color w:val="3A3A3A"/>
          <w:sz w:val="24"/>
          <w:szCs w:val="24"/>
          <w:lang w:eastAsia="fr-FR"/>
        </w:rPr>
        <w:t> à partir de janvier 2026.</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Transparence sur les aides aux entreprises </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Le </w:t>
      </w:r>
      <w:hyperlink r:id="rId25" w:tgtFrame="_blank" w:tooltip="Lien externe - décret de mise en ligne de la plateforme des aides d’Etat - Dans un nouvel onglet (ouvrir dans une nouvelle fenêtre)" w:history="1">
        <w:r w:rsidRPr="00360268">
          <w:rPr>
            <w:rFonts w:ascii="Arial" w:eastAsia="Times New Roman" w:hAnsi="Arial" w:cs="Arial"/>
            <w:color w:val="0000FF"/>
            <w:sz w:val="24"/>
            <w:szCs w:val="24"/>
            <w:u w:val="single"/>
            <w:lang w:eastAsia="fr-FR"/>
          </w:rPr>
          <w:t>décret de mise en ligne de la plateforme des aides d’Etat</w:t>
        </w:r>
      </w:hyperlink>
      <w:r w:rsidRPr="00360268">
        <w:rPr>
          <w:rFonts w:ascii="Arial" w:eastAsia="Times New Roman" w:hAnsi="Arial" w:cs="Arial"/>
          <w:color w:val="3A3A3A"/>
          <w:sz w:val="24"/>
          <w:szCs w:val="24"/>
          <w:lang w:eastAsia="fr-FR"/>
        </w:rPr>
        <w:t> est publié, ce sera le </w:t>
      </w:r>
      <w:r w:rsidRPr="00360268">
        <w:rPr>
          <w:rFonts w:ascii="Roboto" w:eastAsia="Times New Roman" w:hAnsi="Roboto" w:cs="Arial"/>
          <w:b/>
          <w:bCs/>
          <w:color w:val="3A3A3A"/>
          <w:sz w:val="24"/>
          <w:szCs w:val="24"/>
          <w:lang w:eastAsia="fr-FR"/>
        </w:rPr>
        <w:t>registre national des aides de minimis. </w:t>
      </w:r>
    </w:p>
    <w:p w:rsidR="00360268" w:rsidRPr="00360268" w:rsidRDefault="00360268" w:rsidP="00360268">
      <w:pPr>
        <w:shd w:val="clear" w:color="auto" w:fill="FFFFFF"/>
        <w:spacing w:after="360" w:line="240" w:lineRule="auto"/>
        <w:outlineLvl w:val="2"/>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lastRenderedPageBreak/>
        <w:t>Consommation</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Interdiction de produits contenant des polluants éternels</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À compter du 1er janvier 2026, la </w:t>
      </w:r>
      <w:r w:rsidRPr="00360268">
        <w:rPr>
          <w:rFonts w:ascii="Roboto" w:eastAsia="Times New Roman" w:hAnsi="Roboto" w:cs="Arial"/>
          <w:b/>
          <w:bCs/>
          <w:color w:val="3A3A3A"/>
          <w:sz w:val="24"/>
          <w:szCs w:val="24"/>
          <w:lang w:eastAsia="fr-FR"/>
        </w:rPr>
        <w:t>fabrication, l’importation, l’exportation ainsi que la mise sur le marché de produits contenant des polluants éternels (PFAS) seront interdites</w:t>
      </w:r>
      <w:r w:rsidRPr="00360268">
        <w:rPr>
          <w:rFonts w:ascii="Arial" w:eastAsia="Times New Roman" w:hAnsi="Arial" w:cs="Arial"/>
          <w:color w:val="3A3A3A"/>
          <w:sz w:val="24"/>
          <w:szCs w:val="24"/>
          <w:lang w:eastAsia="fr-FR"/>
        </w:rPr>
        <w:t>. Cette interdiction concernera notamment les cosmétiques, les farts pour skis, ainsi que les vêtements, les chaussures et leurs produits imperméabilisants, à l’exception des équipements de protection tels que ceux utilisés par les militaires ou les pompiers.</w:t>
      </w:r>
    </w:p>
    <w:p w:rsidR="00360268" w:rsidRPr="00360268" w:rsidRDefault="00360268" w:rsidP="00360268">
      <w:pPr>
        <w:shd w:val="clear" w:color="auto" w:fill="FFFFFF"/>
        <w:spacing w:after="360" w:line="240" w:lineRule="auto"/>
        <w:outlineLvl w:val="2"/>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Autres changements</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Fin de l'ADSL au profit de la fibre optique</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L'arrêt progressif de l'ADSL est mis en œuvre depuis le 31 janvier 2025. Le réseau cuivre historique sur lequel s'appuie la technologie, qui fournit le téléphone, internet et la télévision, ferme au profit du Très Haut Débit.</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Renforcement des obligations déclaratives des plateformes de cryptoactifs</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À partir du 1er janvier 2026, la </w:t>
      </w:r>
      <w:hyperlink r:id="rId26" w:tgtFrame="_blank" w:tooltip="(Lien externe - directive européenne relative à la coopération administrative dans le domaine fiscale dite « DAC8 » - Dans un nouvel onglet, ouvrir dans une nouvelle fenêtre)" w:history="1">
        <w:r w:rsidRPr="00360268">
          <w:rPr>
            <w:rFonts w:ascii="Arial" w:eastAsia="Times New Roman" w:hAnsi="Arial" w:cs="Arial"/>
            <w:color w:val="0000FF"/>
            <w:sz w:val="24"/>
            <w:szCs w:val="24"/>
            <w:u w:val="single"/>
            <w:lang w:eastAsia="fr-FR"/>
          </w:rPr>
          <w:t>directive européenne relative à la coopération administrative dans le domaine fiscale (dite « DAC8 »)</w:t>
        </w:r>
      </w:hyperlink>
      <w:r w:rsidRPr="00360268">
        <w:rPr>
          <w:rFonts w:ascii="Arial" w:eastAsia="Times New Roman" w:hAnsi="Arial" w:cs="Arial"/>
          <w:color w:val="3A3A3A"/>
          <w:sz w:val="24"/>
          <w:szCs w:val="24"/>
          <w:lang w:eastAsia="fr-FR"/>
        </w:rPr>
        <w:t> s’applique.</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Les plateformes de cryptoactifs, y compris celles situées hors de l’Union européenne mais servant des clients européens, doivent </w:t>
      </w:r>
      <w:r w:rsidRPr="00360268">
        <w:rPr>
          <w:rFonts w:ascii="Roboto" w:eastAsia="Times New Roman" w:hAnsi="Roboto" w:cs="Arial"/>
          <w:b/>
          <w:bCs/>
          <w:color w:val="3A3A3A"/>
          <w:sz w:val="24"/>
          <w:szCs w:val="24"/>
          <w:lang w:eastAsia="fr-FR"/>
        </w:rPr>
        <w:t>collecter et transmettre automatiquement aux autorités fiscales des informations sur leurs utilisateurs et leurs transactions réalisées à compter de 2026.</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Meilleur encadrement des contrats entre marque et influenceur</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hyperlink r:id="rId27" w:tgtFrame="_blank" w:tooltip="La loi du 9 juin 2023 - Dans un nouvel onglet" w:history="1">
        <w:r w:rsidRPr="00360268">
          <w:rPr>
            <w:rFonts w:ascii="Arial" w:eastAsia="Times New Roman" w:hAnsi="Arial" w:cs="Arial"/>
            <w:color w:val="0000FF"/>
            <w:sz w:val="24"/>
            <w:szCs w:val="24"/>
            <w:u w:val="single"/>
            <w:lang w:eastAsia="fr-FR"/>
          </w:rPr>
          <w:t>La loi du 9 juin 2023</w:t>
        </w:r>
      </w:hyperlink>
      <w:r w:rsidRPr="00360268">
        <w:rPr>
          <w:rFonts w:ascii="Arial" w:eastAsia="Times New Roman" w:hAnsi="Arial" w:cs="Arial"/>
          <w:color w:val="3A3A3A"/>
          <w:sz w:val="24"/>
          <w:szCs w:val="24"/>
          <w:lang w:eastAsia="fr-FR"/>
        </w:rPr>
        <w:t> a permis d’encadrer l’influence commerciale et d’accompagner les professionnels du secteur. Elle instaure notamment </w:t>
      </w:r>
      <w:r w:rsidRPr="00360268">
        <w:rPr>
          <w:rFonts w:ascii="Roboto" w:eastAsia="Times New Roman" w:hAnsi="Roboto" w:cs="Arial"/>
          <w:b/>
          <w:bCs/>
          <w:color w:val="3A3A3A"/>
          <w:sz w:val="24"/>
          <w:szCs w:val="24"/>
          <w:lang w:eastAsia="fr-FR"/>
        </w:rPr>
        <w:t>l’obligation d’un contrat écrit entre les marques, les agences et les influenceurs, à partir d’un certain montant.</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hyperlink r:id="rId28" w:tgtFrame="_blank" w:tooltip="Lien externe - Le décret du 28 novembre 2025  - Dans un nouvel onglet (ouvrir dans une nouvelle fenêtre)" w:history="1">
        <w:r w:rsidRPr="00360268">
          <w:rPr>
            <w:rFonts w:ascii="Arial" w:eastAsia="Times New Roman" w:hAnsi="Arial" w:cs="Arial"/>
            <w:color w:val="0000FF"/>
            <w:sz w:val="24"/>
            <w:szCs w:val="24"/>
            <w:u w:val="single"/>
            <w:lang w:eastAsia="fr-FR"/>
          </w:rPr>
          <w:t>Le décret du 28 novembre 2025 </w:t>
        </w:r>
      </w:hyperlink>
      <w:r w:rsidRPr="00360268">
        <w:rPr>
          <w:rFonts w:ascii="Arial" w:eastAsia="Times New Roman" w:hAnsi="Arial" w:cs="Arial"/>
          <w:color w:val="3A3A3A"/>
          <w:sz w:val="24"/>
          <w:szCs w:val="24"/>
          <w:lang w:eastAsia="fr-FR"/>
        </w:rPr>
        <w:t>précise ce seuil. Ainsi, à partir du 1er janvier 2026, un contrat écrit entre les créateurs et annonceurs lors d’une collaboration commerciale doit obligatoirement être rédigé dès lors que </w:t>
      </w:r>
      <w:r w:rsidRPr="00360268">
        <w:rPr>
          <w:rFonts w:ascii="Roboto" w:eastAsia="Times New Roman" w:hAnsi="Roboto" w:cs="Arial"/>
          <w:b/>
          <w:bCs/>
          <w:color w:val="3A3A3A"/>
          <w:sz w:val="24"/>
          <w:szCs w:val="24"/>
          <w:lang w:eastAsia="fr-FR"/>
        </w:rPr>
        <w:t>la valeur de la campagne promotionnelle dépasse 1 000 euros. </w:t>
      </w:r>
      <w:r w:rsidRPr="00360268">
        <w:rPr>
          <w:rFonts w:ascii="Arial" w:eastAsia="Times New Roman" w:hAnsi="Arial" w:cs="Arial"/>
          <w:color w:val="3A3A3A"/>
          <w:sz w:val="24"/>
          <w:szCs w:val="24"/>
          <w:lang w:eastAsia="fr-FR"/>
        </w:rPr>
        <w:t>Le contrat doit par ailleurs comporter des mentions et clauses précises.</w:t>
      </w:r>
    </w:p>
    <w:p w:rsidR="00360268" w:rsidRPr="00360268" w:rsidRDefault="00360268" w:rsidP="00360268">
      <w:pPr>
        <w:shd w:val="clear" w:color="auto" w:fill="FFFFFF"/>
        <w:spacing w:after="360" w:line="240" w:lineRule="auto"/>
        <w:outlineLvl w:val="1"/>
        <w:rPr>
          <w:rFonts w:ascii="Arial" w:eastAsia="Times New Roman" w:hAnsi="Arial" w:cs="Arial"/>
          <w:b/>
          <w:bCs/>
          <w:color w:val="161616"/>
          <w:sz w:val="28"/>
          <w:szCs w:val="28"/>
          <w:lang w:eastAsia="fr-FR"/>
        </w:rPr>
      </w:pPr>
      <w:r w:rsidRPr="00360268">
        <w:rPr>
          <w:rFonts w:ascii="Arial" w:eastAsia="Times New Roman" w:hAnsi="Arial" w:cs="Arial"/>
          <w:b/>
          <w:bCs/>
          <w:color w:val="161616"/>
          <w:sz w:val="28"/>
          <w:szCs w:val="28"/>
          <w:lang w:eastAsia="fr-FR"/>
        </w:rPr>
        <w:t>Ce qui prend fin en l’absence d’adoption d’une loi de finances pour 2026</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 xml:space="preserve">En l’absence de vote du projet de loi de finances pour 2026, certains dispositifs ne sont pas reconduits et prennent donc automatiquement fin au 31 décembre. Ils </w:t>
      </w:r>
      <w:r w:rsidRPr="00360268">
        <w:rPr>
          <w:rFonts w:ascii="Arial" w:eastAsia="Times New Roman" w:hAnsi="Arial" w:cs="Arial"/>
          <w:color w:val="3A3A3A"/>
          <w:sz w:val="24"/>
          <w:szCs w:val="24"/>
          <w:lang w:eastAsia="fr-FR"/>
        </w:rPr>
        <w:lastRenderedPageBreak/>
        <w:t>pourront être réactivés lors de l’adoption de la loi de finances 2026, dont l’examen débutera dès janvier.</w:t>
      </w:r>
    </w:p>
    <w:p w:rsidR="00360268" w:rsidRPr="00360268" w:rsidRDefault="00360268" w:rsidP="00360268">
      <w:pPr>
        <w:shd w:val="clear" w:color="auto" w:fill="FFFFFF"/>
        <w:spacing w:after="360" w:line="240" w:lineRule="auto"/>
        <w:outlineLvl w:val="2"/>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Aides et financement</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Le crédit d’impôt « industrie verte »</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En l’absence de budget voté pour l’année 2026, </w:t>
      </w:r>
      <w:r w:rsidRPr="00360268">
        <w:rPr>
          <w:rFonts w:ascii="Roboto" w:eastAsia="Times New Roman" w:hAnsi="Roboto" w:cs="Arial"/>
          <w:b/>
          <w:bCs/>
          <w:color w:val="3A3A3A"/>
          <w:sz w:val="24"/>
          <w:szCs w:val="24"/>
          <w:lang w:eastAsia="fr-FR"/>
        </w:rPr>
        <w:t>le crédit d’impôt au titre des investissements dans l’industrie verte – ou C3IV – prend fin au 31 décembre 2025.</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Ce dispositif est destiné aux entreprises qui développent des projets industriels dans plusieurs filières clés de la transition écologique.</w:t>
      </w:r>
    </w:p>
    <w:p w:rsidR="00360268" w:rsidRPr="00360268" w:rsidRDefault="00360268" w:rsidP="00360268">
      <w:pPr>
        <w:shd w:val="clear" w:color="auto" w:fill="FFFFFF"/>
        <w:spacing w:after="360" w:line="240" w:lineRule="auto"/>
        <w:outlineLvl w:val="2"/>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Ressources humaines</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Exonération des frais de transport des salariés</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La prise en charge des frais de transport public des salariés est au moins égale à 50 % du coût de l’abonnement, avec une exonération de cotisations sociales jusqu’à 75 % du coût de l’abonnement pour le salarié. </w:t>
      </w:r>
      <w:r w:rsidRPr="00360268">
        <w:rPr>
          <w:rFonts w:ascii="Roboto" w:eastAsia="Times New Roman" w:hAnsi="Roboto" w:cs="Arial"/>
          <w:b/>
          <w:bCs/>
          <w:color w:val="3A3A3A"/>
          <w:sz w:val="24"/>
          <w:szCs w:val="24"/>
          <w:lang w:eastAsia="fr-FR"/>
        </w:rPr>
        <w:t>En l’absence d’adoption de loi de finance, cette exonération devait revenir au taux de 50 % au 1er janvier 2026. À titre exceptionnel et dérogatoire, Le Gouvernement a prorogé cette exonération sur la période courant du 1er janvier 2026 à la date de promulgation de la loi de finances 2026.</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hyperlink r:id="rId29" w:tgtFrame="_blank" w:tooltip="Lien externe - Les titres de transport augmentent  - Dans un nouvel onglet (ouvrir dans une nouvelle fenêtre)" w:history="1">
        <w:r w:rsidRPr="00360268">
          <w:rPr>
            <w:rFonts w:ascii="Roboto" w:eastAsia="Times New Roman" w:hAnsi="Roboto" w:cs="Arial"/>
            <w:b/>
            <w:bCs/>
            <w:color w:val="0000FF"/>
            <w:sz w:val="24"/>
            <w:szCs w:val="24"/>
            <w:u w:val="single"/>
            <w:lang w:eastAsia="fr-FR"/>
          </w:rPr>
          <w:t>Les titres de transport augmentent </w:t>
        </w:r>
      </w:hyperlink>
      <w:r w:rsidRPr="00360268">
        <w:rPr>
          <w:rFonts w:ascii="Roboto" w:eastAsia="Times New Roman" w:hAnsi="Roboto" w:cs="Arial"/>
          <w:b/>
          <w:bCs/>
          <w:color w:val="3A3A3A"/>
          <w:sz w:val="24"/>
          <w:szCs w:val="24"/>
          <w:lang w:eastAsia="fr-FR"/>
        </w:rPr>
        <w:t>de 2,3 % en Île-de-France à compter du 1er janvier 2026.</w:t>
      </w:r>
    </w:p>
    <w:p w:rsidR="00360268" w:rsidRPr="00360268" w:rsidRDefault="00360268" w:rsidP="00360268">
      <w:pPr>
        <w:shd w:val="clear" w:color="auto" w:fill="FFFFFF"/>
        <w:spacing w:after="360" w:line="240" w:lineRule="auto"/>
        <w:outlineLvl w:val="2"/>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Taxes et imposition</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L’exonération fiscale sur les pourboires</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L’exonération fiscale et sociale des pourboires a été instaurée en 2022 pour soutenir le secteur de la restauration et de l’hôtellerie.</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Ce dispositif permettait une exonération d’impôt sur le revenu et de cotisations sociales sur les pourboires pour les</w:t>
      </w:r>
      <w:r w:rsidRPr="00360268">
        <w:rPr>
          <w:rFonts w:ascii="Roboto" w:eastAsia="Times New Roman" w:hAnsi="Roboto" w:cs="Arial"/>
          <w:b/>
          <w:bCs/>
          <w:color w:val="3A3A3A"/>
          <w:sz w:val="24"/>
          <w:szCs w:val="24"/>
          <w:lang w:eastAsia="fr-FR"/>
        </w:rPr>
        <w:t> rémunérations inférieures à 1,6 Smic.</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Roboto" w:eastAsia="Times New Roman" w:hAnsi="Roboto" w:cs="Arial"/>
          <w:b/>
          <w:bCs/>
          <w:color w:val="3A3A3A"/>
          <w:sz w:val="24"/>
          <w:szCs w:val="24"/>
          <w:lang w:eastAsia="fr-FR"/>
        </w:rPr>
        <w:t>En l’absence d’adoption de loi de finances, ce dispositif devait prendre fin au 31 décembre 2025. À titre exceptionnel et dérogatoire, Le Gouvernement a prorogé cette exonération sur la période courant du 1er janvier 2026 à la date de promulgation de la loi de finances 2026.</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La contribution exceptionnelle sur les bénéfices des grandes entreprises</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lastRenderedPageBreak/>
        <w:t>En l’absence de budget voté, la taxe exceptionnelle, qui</w:t>
      </w:r>
      <w:r w:rsidRPr="00360268">
        <w:rPr>
          <w:rFonts w:ascii="Roboto" w:eastAsia="Times New Roman" w:hAnsi="Roboto" w:cs="Arial"/>
          <w:b/>
          <w:bCs/>
          <w:color w:val="3A3A3A"/>
          <w:sz w:val="24"/>
          <w:szCs w:val="24"/>
          <w:lang w:eastAsia="fr-FR"/>
        </w:rPr>
        <w:t> s’applique sur les entreprises soumises à l’impôt sur les sociétés avec un chiffre d’affaires supérieur à un milliard d’euros, prend automatiquement fin au 31 décembre 2025.</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La taxe exceptionnelle sur les entreprises de fret maritime</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La taxe sur les grandes entreprises de fret maritime prend, elle aussi, </w:t>
      </w:r>
      <w:r w:rsidRPr="00360268">
        <w:rPr>
          <w:rFonts w:ascii="Roboto" w:eastAsia="Times New Roman" w:hAnsi="Roboto" w:cs="Arial"/>
          <w:b/>
          <w:bCs/>
          <w:color w:val="3A3A3A"/>
          <w:sz w:val="24"/>
          <w:szCs w:val="24"/>
          <w:lang w:eastAsia="fr-FR"/>
        </w:rPr>
        <w:t>fin au 31 décembre 2025.</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Ce dispositif mettait en place </w:t>
      </w:r>
      <w:r w:rsidRPr="00360268">
        <w:rPr>
          <w:rFonts w:ascii="Roboto" w:eastAsia="Times New Roman" w:hAnsi="Roboto" w:cs="Arial"/>
          <w:b/>
          <w:bCs/>
          <w:color w:val="3A3A3A"/>
          <w:sz w:val="24"/>
          <w:szCs w:val="24"/>
          <w:lang w:eastAsia="fr-FR"/>
        </w:rPr>
        <w:t>une contribution de 12 % appliqué sur la moyenne du résultat d’exploitation des années 2024 et 2025.</w:t>
      </w:r>
    </w:p>
    <w:p w:rsidR="00360268" w:rsidRPr="00360268" w:rsidRDefault="00360268" w:rsidP="00360268">
      <w:pPr>
        <w:shd w:val="clear" w:color="auto" w:fill="FFFFFF"/>
        <w:spacing w:after="360" w:line="240" w:lineRule="auto"/>
        <w:outlineLvl w:val="2"/>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Aides et financement</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L’aide à l’embauche d’un apprenti</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En l’absence d’adoption de loi de finances pour 2026,</w:t>
      </w:r>
      <w:r w:rsidRPr="00360268">
        <w:rPr>
          <w:rFonts w:ascii="Roboto" w:eastAsia="Times New Roman" w:hAnsi="Roboto" w:cs="Arial"/>
          <w:b/>
          <w:bCs/>
          <w:color w:val="3A3A3A"/>
          <w:sz w:val="24"/>
          <w:szCs w:val="24"/>
          <w:lang w:eastAsia="fr-FR"/>
        </w:rPr>
        <w:t> l’aide pour l’embauche d’un apprenti sera réservée uniquement pour les entreprises de moins de 250 salariés à partir du 1er janvier 2026.</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L’aide est conditionnée au recrutement d’un a</w:t>
      </w:r>
      <w:r w:rsidRPr="00360268">
        <w:rPr>
          <w:rFonts w:ascii="Roboto" w:eastAsia="Times New Roman" w:hAnsi="Roboto" w:cs="Arial"/>
          <w:b/>
          <w:bCs/>
          <w:color w:val="3A3A3A"/>
          <w:sz w:val="24"/>
          <w:szCs w:val="24"/>
          <w:lang w:eastAsia="fr-FR"/>
        </w:rPr>
        <w:t>pprenti qui prépare une certification reconnue aux niveaux 3 et 4 de qualification</w:t>
      </w:r>
      <w:r w:rsidRPr="00360268">
        <w:rPr>
          <w:rFonts w:ascii="Arial" w:eastAsia="Times New Roman" w:hAnsi="Arial" w:cs="Arial"/>
          <w:color w:val="3A3A3A"/>
          <w:sz w:val="24"/>
          <w:szCs w:val="24"/>
          <w:lang w:eastAsia="fr-FR"/>
        </w:rPr>
        <w:t>. </w:t>
      </w:r>
      <w:r w:rsidRPr="00360268">
        <w:rPr>
          <w:rFonts w:ascii="Roboto" w:eastAsia="Times New Roman" w:hAnsi="Roboto" w:cs="Arial"/>
          <w:b/>
          <w:bCs/>
          <w:color w:val="3A3A3A"/>
          <w:sz w:val="24"/>
          <w:szCs w:val="24"/>
          <w:lang w:eastAsia="fr-FR"/>
        </w:rPr>
        <w:t>Son montant est maintenu à 5 000 € </w:t>
      </w:r>
      <w:r w:rsidRPr="00360268">
        <w:rPr>
          <w:rFonts w:ascii="Arial" w:eastAsia="Times New Roman" w:hAnsi="Arial" w:cs="Arial"/>
          <w:color w:val="3A3A3A"/>
          <w:sz w:val="24"/>
          <w:szCs w:val="24"/>
          <w:lang w:eastAsia="fr-FR"/>
        </w:rPr>
        <w:t>au titre de la première année de contrat, 6 000€ pour l’embauche d’un apprenti en situation de handicap.</w:t>
      </w:r>
    </w:p>
    <w:p w:rsidR="00360268" w:rsidRPr="00360268" w:rsidRDefault="00360268" w:rsidP="00360268">
      <w:pPr>
        <w:shd w:val="clear" w:color="auto" w:fill="FFFFFF"/>
        <w:spacing w:after="360" w:line="240" w:lineRule="auto"/>
        <w:outlineLvl w:val="3"/>
        <w:rPr>
          <w:rFonts w:ascii="Arial" w:eastAsia="Times New Roman" w:hAnsi="Arial" w:cs="Arial"/>
          <w:b/>
          <w:bCs/>
          <w:color w:val="161616"/>
          <w:sz w:val="24"/>
          <w:szCs w:val="24"/>
          <w:lang w:eastAsia="fr-FR"/>
        </w:rPr>
      </w:pPr>
      <w:r w:rsidRPr="00360268">
        <w:rPr>
          <w:rFonts w:ascii="Arial" w:eastAsia="Times New Roman" w:hAnsi="Arial" w:cs="Arial"/>
          <w:b/>
          <w:bCs/>
          <w:color w:val="161616"/>
          <w:sz w:val="24"/>
          <w:szCs w:val="24"/>
          <w:lang w:eastAsia="fr-FR"/>
        </w:rPr>
        <w:t>Certains dispositifs zonés d’exonération fiscale </w:t>
      </w:r>
    </w:p>
    <w:p w:rsidR="00360268" w:rsidRPr="00360268" w:rsidRDefault="00360268" w:rsidP="00360268">
      <w:pPr>
        <w:shd w:val="clear" w:color="auto" w:fill="FFFFFF"/>
        <w:spacing w:after="360" w:line="240" w:lineRule="auto"/>
        <w:rPr>
          <w:rFonts w:ascii="Arial" w:eastAsia="Times New Roman" w:hAnsi="Arial" w:cs="Arial"/>
          <w:color w:val="3A3A3A"/>
          <w:sz w:val="24"/>
          <w:szCs w:val="24"/>
          <w:lang w:eastAsia="fr-FR"/>
        </w:rPr>
      </w:pPr>
      <w:r w:rsidRPr="00360268">
        <w:rPr>
          <w:rFonts w:ascii="Arial" w:eastAsia="Times New Roman" w:hAnsi="Arial" w:cs="Arial"/>
          <w:color w:val="3A3A3A"/>
          <w:sz w:val="24"/>
          <w:szCs w:val="24"/>
          <w:lang w:eastAsia="fr-FR"/>
        </w:rPr>
        <w:t>Les dispositifs d’exonération pour soutenir l’attractivité des territoires classés en quartiers prioritaires de la ville (QPV) et zones franches urbaines – territoires entrepreneurs (ZFU-TE)</w:t>
      </w:r>
      <w:r w:rsidRPr="00360268">
        <w:rPr>
          <w:rFonts w:ascii="Roboto" w:eastAsia="Times New Roman" w:hAnsi="Roboto" w:cs="Arial"/>
          <w:b/>
          <w:bCs/>
          <w:color w:val="3A3A3A"/>
          <w:sz w:val="24"/>
          <w:szCs w:val="24"/>
          <w:lang w:eastAsia="fr-FR"/>
        </w:rPr>
        <w:t> sont suspendus au 31 décembre 2025.</w:t>
      </w:r>
    </w:p>
    <w:p w:rsidR="00105393" w:rsidRDefault="00105393"/>
    <w:sectPr w:rsidR="00105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E64FC"/>
    <w:multiLevelType w:val="multilevel"/>
    <w:tmpl w:val="AAB8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76BCF"/>
    <w:multiLevelType w:val="multilevel"/>
    <w:tmpl w:val="40F2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6509CD"/>
    <w:multiLevelType w:val="multilevel"/>
    <w:tmpl w:val="57DA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6E0FA5"/>
    <w:multiLevelType w:val="multilevel"/>
    <w:tmpl w:val="B204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97154F"/>
    <w:multiLevelType w:val="multilevel"/>
    <w:tmpl w:val="58D2F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262930">
    <w:abstractNumId w:val="0"/>
  </w:num>
  <w:num w:numId="2" w16cid:durableId="89393620">
    <w:abstractNumId w:val="4"/>
  </w:num>
  <w:num w:numId="3" w16cid:durableId="1046371473">
    <w:abstractNumId w:val="2"/>
  </w:num>
  <w:num w:numId="4" w16cid:durableId="1688287148">
    <w:abstractNumId w:val="3"/>
  </w:num>
  <w:num w:numId="5" w16cid:durableId="7367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68"/>
    <w:rsid w:val="00105393"/>
    <w:rsid w:val="00160B38"/>
    <w:rsid w:val="00360268"/>
    <w:rsid w:val="00456F36"/>
    <w:rsid w:val="00797B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BF25"/>
  <w15:chartTrackingRefBased/>
  <w15:docId w15:val="{EE07B62D-FBA3-4402-ADFA-C0038235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38"/>
  </w:style>
  <w:style w:type="paragraph" w:styleId="Titre1">
    <w:name w:val="heading 1"/>
    <w:basedOn w:val="Normal"/>
    <w:link w:val="Titre1Car"/>
    <w:uiPriority w:val="9"/>
    <w:qFormat/>
    <w:rsid w:val="003602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6026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6026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36026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026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6026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6026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360268"/>
    <w:rPr>
      <w:rFonts w:ascii="Times New Roman" w:eastAsia="Times New Roman" w:hAnsi="Times New Roman" w:cs="Times New Roman"/>
      <w:b/>
      <w:bCs/>
      <w:sz w:val="24"/>
      <w:szCs w:val="24"/>
      <w:lang w:eastAsia="fr-FR"/>
    </w:rPr>
  </w:style>
  <w:style w:type="character" w:customStyle="1" w:styleId="field">
    <w:name w:val="field"/>
    <w:basedOn w:val="Policepardfaut"/>
    <w:rsid w:val="00360268"/>
  </w:style>
  <w:style w:type="paragraph" w:customStyle="1" w:styleId="fr-mr-1w">
    <w:name w:val="fr-mr-1w"/>
    <w:basedOn w:val="Normal"/>
    <w:rsid w:val="0036026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badge">
    <w:name w:val="fr-badge"/>
    <w:basedOn w:val="Normal"/>
    <w:rsid w:val="0036026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60268"/>
    <w:rPr>
      <w:color w:val="0000FF"/>
      <w:u w:val="single"/>
    </w:rPr>
  </w:style>
  <w:style w:type="paragraph" w:customStyle="1" w:styleId="fr-text--lead">
    <w:name w:val="fr-text--lead"/>
    <w:basedOn w:val="Normal"/>
    <w:rsid w:val="0036026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6026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602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880257">
      <w:bodyDiv w:val="1"/>
      <w:marLeft w:val="0"/>
      <w:marRight w:val="0"/>
      <w:marTop w:val="0"/>
      <w:marBottom w:val="0"/>
      <w:divBdr>
        <w:top w:val="none" w:sz="0" w:space="0" w:color="auto"/>
        <w:left w:val="none" w:sz="0" w:space="0" w:color="auto"/>
        <w:bottom w:val="none" w:sz="0" w:space="0" w:color="auto"/>
        <w:right w:val="none" w:sz="0" w:space="0" w:color="auto"/>
      </w:divBdr>
      <w:divsChild>
        <w:div w:id="164832351">
          <w:marLeft w:val="0"/>
          <w:marRight w:val="0"/>
          <w:marTop w:val="0"/>
          <w:marBottom w:val="0"/>
          <w:divBdr>
            <w:top w:val="none" w:sz="0" w:space="0" w:color="auto"/>
            <w:left w:val="none" w:sz="0" w:space="0" w:color="auto"/>
            <w:bottom w:val="none" w:sz="0" w:space="0" w:color="auto"/>
            <w:right w:val="none" w:sz="0" w:space="0" w:color="auto"/>
          </w:divBdr>
        </w:div>
        <w:div w:id="220487862">
          <w:marLeft w:val="0"/>
          <w:marRight w:val="0"/>
          <w:marTop w:val="0"/>
          <w:marBottom w:val="0"/>
          <w:divBdr>
            <w:top w:val="none" w:sz="0" w:space="0" w:color="auto"/>
            <w:left w:val="none" w:sz="0" w:space="0" w:color="auto"/>
            <w:bottom w:val="none" w:sz="0" w:space="0" w:color="auto"/>
            <w:right w:val="none" w:sz="0" w:space="0" w:color="auto"/>
          </w:divBdr>
          <w:divsChild>
            <w:div w:id="1018119319">
              <w:marLeft w:val="0"/>
              <w:marRight w:val="0"/>
              <w:marTop w:val="0"/>
              <w:marBottom w:val="0"/>
              <w:divBdr>
                <w:top w:val="none" w:sz="0" w:space="0" w:color="auto"/>
                <w:left w:val="none" w:sz="0" w:space="0" w:color="auto"/>
                <w:bottom w:val="none" w:sz="0" w:space="0" w:color="auto"/>
                <w:right w:val="none" w:sz="0" w:space="0" w:color="auto"/>
              </w:divBdr>
              <w:divsChild>
                <w:div w:id="1669365009">
                  <w:marLeft w:val="0"/>
                  <w:marRight w:val="0"/>
                  <w:marTop w:val="0"/>
                  <w:marBottom w:val="0"/>
                  <w:divBdr>
                    <w:top w:val="none" w:sz="0" w:space="0" w:color="auto"/>
                    <w:left w:val="none" w:sz="0" w:space="0" w:color="auto"/>
                    <w:bottom w:val="none" w:sz="0" w:space="0" w:color="auto"/>
                    <w:right w:val="none" w:sz="0" w:space="0" w:color="auto"/>
                  </w:divBdr>
                </w:div>
                <w:div w:id="787160708">
                  <w:marLeft w:val="0"/>
                  <w:marRight w:val="0"/>
                  <w:marTop w:val="0"/>
                  <w:marBottom w:val="0"/>
                  <w:divBdr>
                    <w:top w:val="none" w:sz="0" w:space="0" w:color="auto"/>
                    <w:left w:val="none" w:sz="0" w:space="0" w:color="auto"/>
                    <w:bottom w:val="none" w:sz="0" w:space="0" w:color="auto"/>
                    <w:right w:val="none" w:sz="0" w:space="0" w:color="auto"/>
                  </w:divBdr>
                </w:div>
              </w:divsChild>
            </w:div>
            <w:div w:id="726492531">
              <w:marLeft w:val="0"/>
              <w:marRight w:val="0"/>
              <w:marTop w:val="0"/>
              <w:marBottom w:val="0"/>
              <w:divBdr>
                <w:top w:val="none" w:sz="0" w:space="0" w:color="auto"/>
                <w:left w:val="none" w:sz="0" w:space="0" w:color="auto"/>
                <w:bottom w:val="none" w:sz="0" w:space="0" w:color="auto"/>
                <w:right w:val="none" w:sz="0" w:space="0" w:color="auto"/>
              </w:divBdr>
              <w:divsChild>
                <w:div w:id="1502352180">
                  <w:marLeft w:val="0"/>
                  <w:marRight w:val="0"/>
                  <w:marTop w:val="0"/>
                  <w:marBottom w:val="0"/>
                  <w:divBdr>
                    <w:top w:val="none" w:sz="0" w:space="0" w:color="auto"/>
                    <w:left w:val="none" w:sz="0" w:space="0" w:color="auto"/>
                    <w:bottom w:val="none" w:sz="0" w:space="0" w:color="auto"/>
                    <w:right w:val="none" w:sz="0" w:space="0" w:color="auto"/>
                  </w:divBdr>
                  <w:divsChild>
                    <w:div w:id="721758250">
                      <w:marLeft w:val="0"/>
                      <w:marRight w:val="0"/>
                      <w:marTop w:val="0"/>
                      <w:marBottom w:val="0"/>
                      <w:divBdr>
                        <w:top w:val="none" w:sz="0" w:space="0" w:color="auto"/>
                        <w:left w:val="none" w:sz="0" w:space="0" w:color="auto"/>
                        <w:bottom w:val="none" w:sz="0" w:space="0" w:color="auto"/>
                        <w:right w:val="none" w:sz="0" w:space="0" w:color="auto"/>
                      </w:divBdr>
                    </w:div>
                  </w:divsChild>
                </w:div>
                <w:div w:id="438256746">
                  <w:marLeft w:val="0"/>
                  <w:marRight w:val="0"/>
                  <w:marTop w:val="0"/>
                  <w:marBottom w:val="0"/>
                  <w:divBdr>
                    <w:top w:val="none" w:sz="0" w:space="0" w:color="auto"/>
                    <w:left w:val="none" w:sz="0" w:space="0" w:color="auto"/>
                    <w:bottom w:val="none" w:sz="0" w:space="0" w:color="auto"/>
                    <w:right w:val="none" w:sz="0" w:space="0" w:color="auto"/>
                  </w:divBdr>
                  <w:divsChild>
                    <w:div w:id="1475831549">
                      <w:marLeft w:val="0"/>
                      <w:marRight w:val="0"/>
                      <w:marTop w:val="0"/>
                      <w:marBottom w:val="0"/>
                      <w:divBdr>
                        <w:top w:val="none" w:sz="0" w:space="0" w:color="auto"/>
                        <w:left w:val="none" w:sz="0" w:space="0" w:color="auto"/>
                        <w:bottom w:val="none" w:sz="0" w:space="0" w:color="auto"/>
                        <w:right w:val="none" w:sz="0" w:space="0" w:color="auto"/>
                      </w:divBdr>
                      <w:divsChild>
                        <w:div w:id="208568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7178">
                  <w:marLeft w:val="0"/>
                  <w:marRight w:val="0"/>
                  <w:marTop w:val="0"/>
                  <w:marBottom w:val="0"/>
                  <w:divBdr>
                    <w:top w:val="none" w:sz="0" w:space="0" w:color="auto"/>
                    <w:left w:val="none" w:sz="0" w:space="0" w:color="auto"/>
                    <w:bottom w:val="none" w:sz="0" w:space="0" w:color="auto"/>
                    <w:right w:val="none" w:sz="0" w:space="0" w:color="auto"/>
                  </w:divBdr>
                  <w:divsChild>
                    <w:div w:id="915630378">
                      <w:marLeft w:val="0"/>
                      <w:marRight w:val="0"/>
                      <w:marTop w:val="0"/>
                      <w:marBottom w:val="0"/>
                      <w:divBdr>
                        <w:top w:val="none" w:sz="0" w:space="0" w:color="auto"/>
                        <w:left w:val="none" w:sz="0" w:space="0" w:color="auto"/>
                        <w:bottom w:val="none" w:sz="0" w:space="0" w:color="auto"/>
                        <w:right w:val="none" w:sz="0" w:space="0" w:color="auto"/>
                      </w:divBdr>
                      <w:divsChild>
                        <w:div w:id="8721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e.gouv.fr/entreprises/entreprises-ce-qui-change-au-1er-janvier-2026-0?eml-publisher=hubscore&amp;eml-name=Emailing-es-39-%5bBIE_489_20260108%5d-20260108&amp;eml-mediaplan=%5bhttps://www.economie.gouv.fr/entreprises/entreprises-ce-qui-change-au-1er-janvier-2026-0%5d" TargetMode="External"/><Relationship Id="rId13" Type="http://schemas.openxmlformats.org/officeDocument/2006/relationships/hyperlink" Target="https://www.economie.gouv.fr/entreprises/entreprises-ce-qui-change-au-1er-janvier-2026-0?eml-publisher=hubscore&amp;eml-name=Emailing-es-39-%5bBIE_489_20260108%5d-20260108&amp;eml-mediaplan=%5bhttps://www.economie.gouv.fr/entreprises/entreprises-ce-qui-change-au-1er-janvier-2026-0%5d" TargetMode="External"/><Relationship Id="rId18" Type="http://schemas.openxmlformats.org/officeDocument/2006/relationships/hyperlink" Target="https://www.economie.gouv.fr/entreprises/entreprises-ce-qui-change-au-1er-janvier-2026-0?eml-publisher=hubscore&amp;eml-name=Emailing-es-39-%5bBIE_489_20260108%5d-20260108&amp;eml-mediaplan=%5bhttps://www.economie.gouv.fr/entreprises/entreprises-ce-qui-change-au-1er-janvier-2026-0%5d" TargetMode="External"/><Relationship Id="rId26" Type="http://schemas.openxmlformats.org/officeDocument/2006/relationships/hyperlink" Target="https://eur-lex.europa.eu/legal-content/FR/TXT/PDF/?uri=OJ:L_202302226%20" TargetMode="External"/><Relationship Id="rId3" Type="http://schemas.openxmlformats.org/officeDocument/2006/relationships/settings" Target="settings.xml"/><Relationship Id="rId21" Type="http://schemas.openxmlformats.org/officeDocument/2006/relationships/hyperlink" Target="https://www.legifrance.gouv.fr/jorf/id/JORFTEXT000052194026%20" TargetMode="External"/><Relationship Id="rId7" Type="http://schemas.openxmlformats.org/officeDocument/2006/relationships/hyperlink" Target="https://www.economie.gouv.fr/entreprises/entreprises-ce-qui-change-au-1er-janvier-2026-0?eml-publisher=hubscore&amp;eml-name=Emailing-es-39-%5bBIE_489_20260108%5d-20260108&amp;eml-mediaplan=%5bhttps://www.economie.gouv.fr/entreprises/entreprises-ce-qui-change-au-1er-janvier-2026-0%5d" TargetMode="External"/><Relationship Id="rId12" Type="http://schemas.openxmlformats.org/officeDocument/2006/relationships/hyperlink" Target="https://www.economie.gouv.fr/entreprises/entreprises-ce-qui-change-au-1er-janvier-2026-0?eml-publisher=hubscore&amp;eml-name=Emailing-es-39-%5bBIE_489_20260108%5d-20260108&amp;eml-mediaplan=%5bhttps://www.economie.gouv.fr/entreprises/entreprises-ce-qui-change-au-1er-janvier-2026-0%5d" TargetMode="External"/><Relationship Id="rId17" Type="http://schemas.openxmlformats.org/officeDocument/2006/relationships/hyperlink" Target="https://www.economie.gouv.fr/entreprises/entreprises-ce-qui-change-au-1er-janvier-2026-0?eml-publisher=hubscore&amp;eml-name=Emailing-es-39-%5bBIE_489_20260108%5d-20260108&amp;eml-mediaplan=%5bhttps://www.economie.gouv.fr/entreprises/entreprises-ce-qui-change-au-1er-janvier-2026-0%5d" TargetMode="External"/><Relationship Id="rId25" Type="http://schemas.openxmlformats.org/officeDocument/2006/relationships/hyperlink" Target="https://www.legifrance.gouv.fr/jorf/id/JORFTEXT000053177293" TargetMode="External"/><Relationship Id="rId2" Type="http://schemas.openxmlformats.org/officeDocument/2006/relationships/styles" Target="styles.xml"/><Relationship Id="rId16" Type="http://schemas.openxmlformats.org/officeDocument/2006/relationships/hyperlink" Target="https://www.economie.gouv.fr/entreprises/entreprises-ce-qui-change-au-1er-janvier-2026-0?eml-publisher=hubscore&amp;eml-name=Emailing-es-39-%5bBIE_489_20260108%5d-20260108&amp;eml-mediaplan=%5bhttps://www.economie.gouv.fr/entreprises/entreprises-ce-qui-change-au-1er-janvier-2026-0%5d" TargetMode="External"/><Relationship Id="rId20" Type="http://schemas.openxmlformats.org/officeDocument/2006/relationships/hyperlink" Target="https://www.legifrance.gouv.fr/jorf/article_jo/JORFARTI000051269563%20" TargetMode="External"/><Relationship Id="rId29" Type="http://schemas.openxmlformats.org/officeDocument/2006/relationships/hyperlink" Target="https://entreprendre.service-public.gouv.fr/actualites/A18679%20" TargetMode="External"/><Relationship Id="rId1" Type="http://schemas.openxmlformats.org/officeDocument/2006/relationships/numbering" Target="numbering.xml"/><Relationship Id="rId6" Type="http://schemas.openxmlformats.org/officeDocument/2006/relationships/hyperlink" Target="https://www.economie.gouv.fr/entreprises/entreprises-ce-qui-change-au-1er-janvier-2026-0?eml-publisher=hubscore&amp;eml-name=Emailing-es-39-%5bBIE_489_20260108%5d-20260108&amp;eml-mediaplan=%5bhttps://www.economie.gouv.fr/entreprises/entreprises-ce-qui-change-au-1er-janvier-2026-0%5d" TargetMode="External"/><Relationship Id="rId11" Type="http://schemas.openxmlformats.org/officeDocument/2006/relationships/hyperlink" Target="https://www.economie.gouv.fr/entreprises/entreprises-ce-qui-change-au-1er-janvier-2026-0?eml-publisher=hubscore&amp;eml-name=Emailing-es-39-%5bBIE_489_20260108%5d-20260108&amp;eml-mediaplan=%5bhttps://www.economie.gouv.fr/entreprises/entreprises-ce-qui-change-au-1er-janvier-2026-0%5d" TargetMode="External"/><Relationship Id="rId24" Type="http://schemas.openxmlformats.org/officeDocument/2006/relationships/hyperlink" Target="https://eur-lex.europa.eu/legal-content/FR/TXT/HTML/?uri=CELEX:32023R0956" TargetMode="External"/><Relationship Id="rId5" Type="http://schemas.openxmlformats.org/officeDocument/2006/relationships/hyperlink" Target="https://www.economie.gouv.fr/entreprises/entreprises-ce-qui-change-au-1er-janvier-2026-0?eml-publisher=hubscore&amp;eml-name=Emailing-es-39-%5bBIE_489_20260108%5d-20260108&amp;eml-mediaplan=%5bhttps://www.economie.gouv.fr/entreprises/entreprises-ce-qui-change-au-1er-janvier-2026-0%5d" TargetMode="External"/><Relationship Id="rId15" Type="http://schemas.openxmlformats.org/officeDocument/2006/relationships/hyperlink" Target="https://www.economie.gouv.fr/entreprises/entreprises-ce-qui-change-au-1er-janvier-2026-0?eml-publisher=hubscore&amp;eml-name=Emailing-es-39-%5bBIE_489_20260108%5d-20260108&amp;eml-mediaplan=%5bhttps://www.economie.gouv.fr/entreprises/entreprises-ce-qui-change-au-1er-janvier-2026-0%5d" TargetMode="External"/><Relationship Id="rId23" Type="http://schemas.openxmlformats.org/officeDocument/2006/relationships/hyperlink" Target="https://www.economie.gouv.fr/entreprises/developper-son-entreprise/importer-et-exporter-linternational/numero-eori-lidentifiant-indispensable-pour-vos-formalites-douanieres%20" TargetMode="External"/><Relationship Id="rId28" Type="http://schemas.openxmlformats.org/officeDocument/2006/relationships/hyperlink" Target="https://www.legifrance.gouv.fr/jorf/id/JORFTEXT000052950561%20" TargetMode="External"/><Relationship Id="rId10" Type="http://schemas.openxmlformats.org/officeDocument/2006/relationships/hyperlink" Target="https://www.economie.gouv.fr/entreprises/entreprises-ce-qui-change-au-1er-janvier-2026-0?eml-publisher=hubscore&amp;eml-name=Emailing-es-39-%5bBIE_489_20260108%5d-20260108&amp;eml-mediaplan=%5bhttps://www.economie.gouv.fr/entreprises/entreprises-ce-qui-change-au-1er-janvier-2026-0%5d" TargetMode="External"/><Relationship Id="rId19" Type="http://schemas.openxmlformats.org/officeDocument/2006/relationships/hyperlink" Target="https://www.economie.gouv.fr/entreprises/entreprises-ce-qui-change-au-1er-janvier-2026-0?eml-publisher=hubscore&amp;eml-name=Emailing-es-39-%5bBIE_489_20260108%5d-20260108&amp;eml-mediaplan=%5bhttps://www.economie.gouv.fr/entreprises/entreprises-ce-qui-change-au-1er-janvier-2026-0%5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conomie.gouv.fr/entreprises/entreprises-ce-qui-change-au-1er-janvier-2026-0?eml-publisher=hubscore&amp;eml-name=Emailing-es-39-%5bBIE_489_20260108%5d-20260108&amp;eml-mediaplan=%5bhttps://www.economie.gouv.fr/entreprises/entreprises-ce-qui-change-au-1er-janvier-2026-0%5d" TargetMode="External"/><Relationship Id="rId14" Type="http://schemas.openxmlformats.org/officeDocument/2006/relationships/hyperlink" Target="https://www.economie.gouv.fr/entreprises/entreprises-ce-qui-change-au-1er-janvier-2026-0?eml-publisher=hubscore&amp;eml-name=Emailing-es-39-%5bBIE_489_20260108%5d-20260108&amp;eml-mediaplan=%5bhttps://www.economie.gouv.fr/entreprises/entreprises-ce-qui-change-au-1er-janvier-2026-0%5d" TargetMode="External"/><Relationship Id="rId22" Type="http://schemas.openxmlformats.org/officeDocument/2006/relationships/hyperlink" Target="https://www.douane.gouv.fr/fiche/comprendre-le-mecanisme-dajustement-carbone-aux-frontieres%20" TargetMode="External"/><Relationship Id="rId27" Type="http://schemas.openxmlformats.org/officeDocument/2006/relationships/hyperlink" Target="https://www.economie.gouv.fr/influenceur-createur-contenu-mesures-encadrement"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3045</Words>
  <Characters>16749</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ROUDET</dc:creator>
  <cp:keywords/>
  <dc:description/>
  <cp:lastModifiedBy>Alain ROUDET</cp:lastModifiedBy>
  <cp:revision>2</cp:revision>
  <dcterms:created xsi:type="dcterms:W3CDTF">2026-01-09T07:32:00Z</dcterms:created>
  <dcterms:modified xsi:type="dcterms:W3CDTF">2026-01-09T08:03:00Z</dcterms:modified>
</cp:coreProperties>
</file>