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457" w:rsidRPr="00BB2457" w:rsidRDefault="00BB2457" w:rsidP="00BB2457">
      <w:pPr>
        <w:spacing w:after="375" w:line="240" w:lineRule="auto"/>
        <w:outlineLvl w:val="0"/>
        <w:rPr>
          <w:rFonts w:ascii="Arial" w:eastAsia="Times New Roman" w:hAnsi="Arial" w:cs="Arial"/>
          <w:b/>
          <w:bCs/>
          <w:spacing w:val="8"/>
          <w:kern w:val="36"/>
          <w:sz w:val="36"/>
          <w:szCs w:val="36"/>
          <w:lang w:eastAsia="fr-FR"/>
        </w:rPr>
      </w:pPr>
      <w:r w:rsidRPr="00BB2457">
        <w:rPr>
          <w:rFonts w:ascii="Arial" w:eastAsia="Times New Roman" w:hAnsi="Arial" w:cs="Arial"/>
          <w:b/>
          <w:bCs/>
          <w:spacing w:val="8"/>
          <w:kern w:val="36"/>
          <w:sz w:val="36"/>
          <w:szCs w:val="36"/>
          <w:lang w:eastAsia="fr-FR"/>
        </w:rPr>
        <w:t>La refacturation au client de frais de déplacement, de repas ou d’hébergement, est-elle assujettie à la TVA ?</w:t>
      </w:r>
    </w:p>
    <w:p w:rsidR="00BB2457" w:rsidRPr="00BB2457" w:rsidRDefault="00BB2457" w:rsidP="00BB2457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Réponse : oui.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 Sous réserve du cas particulier des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frais d'envoi par la Poste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 (voir ci-dessous),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tous les autres frais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 qui sont réclamés au client et qui peuvent être considérés comme des compléments du prix de base d’une opération doivent être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compris 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dans la base d’imposition à la TVA </w:t>
      </w:r>
      <w:r w:rsidRPr="00BB2457">
        <w:rPr>
          <w:rFonts w:ascii="Arial" w:eastAsia="Times New Roman" w:hAnsi="Arial" w:cs="Arial"/>
          <w:i/>
          <w:iCs/>
          <w:spacing w:val="6"/>
          <w:sz w:val="24"/>
          <w:szCs w:val="24"/>
          <w:lang w:eastAsia="fr-FR"/>
        </w:rPr>
        <w:t>(articles 266 et 267 du CGI)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.</w:t>
      </w:r>
    </w:p>
    <w:p w:rsidR="00BB2457" w:rsidRPr="00BB2457" w:rsidRDefault="00BB2457" w:rsidP="00BB2457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En particulier, l’ensemble des frais qu’un prestataire de services expose pour la réalisation de la prestation qu’il effectue et dont il réclame le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remboursement 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à ses clients, en sus de ses honoraires ou de sa rémunération, doit être compris dans sa base d’imposition.</w:t>
      </w:r>
    </w:p>
    <w:p w:rsidR="00BB2457" w:rsidRPr="00BB2457" w:rsidRDefault="00BB2457" w:rsidP="00BB2457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Tel est le cas notamment des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frais de déplacement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 (billet de train ou d’avion, location d’un véhicule, etc.), ainsi que des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frais d’hôtel ou de restaurant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 refacturés</w:t>
      </w:r>
      <w:r w:rsidRPr="00BB2457">
        <w:rPr>
          <w:rFonts w:ascii="Arial" w:eastAsia="Times New Roman" w:hAnsi="Arial" w:cs="Arial"/>
          <w:i/>
          <w:iCs/>
          <w:spacing w:val="6"/>
          <w:sz w:val="24"/>
          <w:szCs w:val="24"/>
          <w:lang w:eastAsia="fr-FR"/>
        </w:rPr>
        <w:t>.</w:t>
      </w:r>
    </w:p>
    <w:p w:rsidR="00BB2457" w:rsidRPr="00BB2457" w:rsidRDefault="00BB2457" w:rsidP="00BB2457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Ces dispositions s'appliquent qu'une marge soit appliquée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ou pas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 sur les frais refacturés.</w:t>
      </w:r>
    </w:p>
    <w:p w:rsidR="00BB2457" w:rsidRPr="00BB2457" w:rsidRDefault="00BB2457" w:rsidP="00BB2457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Par ailleurs, lorsque le remboursement demandé au client porte sur une somme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TTC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, la TVA est applicable sur cette somme. Il y a donc dans ce cas </w:t>
      </w:r>
      <w:r w:rsidRPr="00BB2457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TVA sur TVA</w:t>
      </w: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, mais le client ne peut récupérer que la seule TVA facturée par vous-même, non celle déjà comprise dans les frais refacturés.</w:t>
      </w:r>
    </w:p>
    <w:p w:rsidR="00BB2457" w:rsidRPr="00BB2457" w:rsidRDefault="00BB2457" w:rsidP="00BB2457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B2457">
        <w:rPr>
          <w:rFonts w:ascii="Arial" w:eastAsia="Times New Roman" w:hAnsi="Arial" w:cs="Arial"/>
          <w:spacing w:val="6"/>
          <w:sz w:val="24"/>
          <w:szCs w:val="24"/>
          <w:lang w:eastAsia="fr-FR"/>
        </w:rPr>
        <w:t>Enfin, dans la mesure où il s'agit de compléments du prix de base de l'opération, le taux de TVA applicable aux remboursements de frais est le même que celui applicable à la prestation elle-même.</w:t>
      </w:r>
    </w:p>
    <w:p w:rsidR="00105393" w:rsidRDefault="00105393"/>
    <w:sectPr w:rsidR="0010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CD3"/>
    <w:multiLevelType w:val="multilevel"/>
    <w:tmpl w:val="6544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95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7"/>
    <w:rsid w:val="00105393"/>
    <w:rsid w:val="00160B38"/>
    <w:rsid w:val="00B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52E37-7676-4A4E-A817-A299448C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2024-07-25T06:24:00Z</dcterms:created>
  <dcterms:modified xsi:type="dcterms:W3CDTF">2024-07-25T06:27:00Z</dcterms:modified>
</cp:coreProperties>
</file>