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F58F3" w14:textId="5C0732C5" w:rsidR="009F550C" w:rsidRPr="008472E4" w:rsidRDefault="009F550C" w:rsidP="009F550C">
      <w:pPr>
        <w:spacing w:after="0" w:line="240" w:lineRule="auto"/>
        <w:outlineLvl w:val="0"/>
        <w:rPr>
          <w:rFonts w:ascii="Arial" w:eastAsia="Times New Roman" w:hAnsi="Arial" w:cs="Arial"/>
          <w:b/>
          <w:bCs/>
          <w:color w:val="FF5847"/>
          <w:spacing w:val="8"/>
          <w:kern w:val="36"/>
          <w:sz w:val="32"/>
          <w:szCs w:val="32"/>
          <w:lang w:eastAsia="fr-FR"/>
          <w14:ligatures w14:val="none"/>
        </w:rPr>
      </w:pPr>
      <w:r w:rsidRPr="009F550C">
        <w:rPr>
          <w:rFonts w:ascii="Arial" w:eastAsia="Times New Roman" w:hAnsi="Arial" w:cs="Arial"/>
          <w:b/>
          <w:bCs/>
          <w:color w:val="FF5847"/>
          <w:spacing w:val="8"/>
          <w:kern w:val="36"/>
          <w:sz w:val="32"/>
          <w:szCs w:val="32"/>
          <w:lang w:eastAsia="fr-FR"/>
          <w14:ligatures w14:val="none"/>
        </w:rPr>
        <w:t>Amortissement du fonds de commerce, pacte Dutreil : deux modifications "anti-abus"</w:t>
      </w:r>
    </w:p>
    <w:p w14:paraId="4D640B0A" w14:textId="7B56DA68" w:rsidR="009F550C" w:rsidRPr="009F550C" w:rsidRDefault="009F550C" w:rsidP="008472E4">
      <w:pPr>
        <w:spacing w:after="0" w:line="240" w:lineRule="auto"/>
        <w:rPr>
          <w:rFonts w:ascii="Arial" w:eastAsia="Times New Roman" w:hAnsi="Arial" w:cs="Arial"/>
          <w:b/>
          <w:bCs/>
          <w:i/>
          <w:iCs/>
          <w:spacing w:val="8"/>
          <w:kern w:val="0"/>
          <w:sz w:val="24"/>
          <w:szCs w:val="24"/>
          <w:lang w:eastAsia="fr-FR"/>
          <w14:ligatures w14:val="none"/>
        </w:rPr>
      </w:pPr>
    </w:p>
    <w:p w14:paraId="12085149" w14:textId="16B71632" w:rsidR="009F550C" w:rsidRDefault="009F550C" w:rsidP="009F550C">
      <w:pPr>
        <w:spacing w:after="0" w:line="240" w:lineRule="auto"/>
        <w:rPr>
          <w:rFonts w:ascii="Arial" w:eastAsia="Times New Roman" w:hAnsi="Arial" w:cs="Arial"/>
          <w:b/>
          <w:bCs/>
          <w:spacing w:val="6"/>
          <w:kern w:val="0"/>
          <w:sz w:val="24"/>
          <w:szCs w:val="24"/>
          <w:lang w:eastAsia="fr-FR"/>
          <w14:ligatures w14:val="none"/>
        </w:rPr>
      </w:pPr>
      <w:r w:rsidRPr="009F550C">
        <w:rPr>
          <w:rFonts w:ascii="Arial" w:eastAsia="Times New Roman" w:hAnsi="Arial" w:cs="Arial"/>
          <w:b/>
          <w:bCs/>
          <w:spacing w:val="6"/>
          <w:kern w:val="0"/>
          <w:sz w:val="24"/>
          <w:szCs w:val="24"/>
          <w:lang w:eastAsia="fr-FR"/>
          <w14:ligatures w14:val="none"/>
        </w:rPr>
        <w:t>Attention : ces deux dispositifs anti-abus vont avoir un effet rétroactif. Le projet de loi prévoit en effet qu'ils vont entrer en vigueur dès le 18 juillet 2022 et même pour certains pactes Dutreil déjà en cours avant cette date.</w:t>
      </w:r>
    </w:p>
    <w:p w14:paraId="08DB2C1F" w14:textId="77777777" w:rsidR="009F550C" w:rsidRPr="009F550C" w:rsidRDefault="009F550C" w:rsidP="009F550C">
      <w:pPr>
        <w:spacing w:after="0" w:line="240" w:lineRule="auto"/>
        <w:rPr>
          <w:rFonts w:ascii="Arial" w:eastAsia="Times New Roman" w:hAnsi="Arial" w:cs="Arial"/>
          <w:b/>
          <w:bCs/>
          <w:spacing w:val="6"/>
          <w:kern w:val="0"/>
          <w:sz w:val="24"/>
          <w:szCs w:val="24"/>
          <w:lang w:eastAsia="fr-FR"/>
          <w14:ligatures w14:val="none"/>
        </w:rPr>
      </w:pPr>
    </w:p>
    <w:p w14:paraId="64230F0C" w14:textId="5B385E54" w:rsidR="009F550C" w:rsidRDefault="009F550C" w:rsidP="009F550C">
      <w:pPr>
        <w:spacing w:after="0" w:line="240" w:lineRule="auto"/>
        <w:outlineLvl w:val="1"/>
        <w:rPr>
          <w:rFonts w:ascii="Arial" w:eastAsia="Times New Roman" w:hAnsi="Arial" w:cs="Arial"/>
          <w:b/>
          <w:bCs/>
          <w:caps/>
          <w:color w:val="435362"/>
          <w:spacing w:val="8"/>
          <w:kern w:val="0"/>
          <w:sz w:val="24"/>
          <w:szCs w:val="24"/>
          <w:lang w:eastAsia="fr-FR"/>
          <w14:ligatures w14:val="none"/>
        </w:rPr>
      </w:pPr>
      <w:r w:rsidRPr="009F550C">
        <w:rPr>
          <w:rFonts w:ascii="Arial" w:eastAsia="Times New Roman" w:hAnsi="Arial" w:cs="Arial"/>
          <w:b/>
          <w:bCs/>
          <w:caps/>
          <w:color w:val="435362"/>
          <w:spacing w:val="8"/>
          <w:kern w:val="0"/>
          <w:sz w:val="24"/>
          <w:szCs w:val="24"/>
          <w:lang w:eastAsia="fr-FR"/>
          <w14:ligatures w14:val="none"/>
        </w:rPr>
        <w:t>AMORTISSEMENT DU FONDS DE COMMERCE</w:t>
      </w:r>
    </w:p>
    <w:p w14:paraId="1C8797C8" w14:textId="77777777" w:rsidR="009F550C" w:rsidRPr="009F550C" w:rsidRDefault="009F550C" w:rsidP="009F550C">
      <w:pPr>
        <w:spacing w:after="0" w:line="240" w:lineRule="auto"/>
        <w:outlineLvl w:val="1"/>
        <w:rPr>
          <w:rFonts w:ascii="Arial" w:eastAsia="Times New Roman" w:hAnsi="Arial" w:cs="Arial"/>
          <w:b/>
          <w:bCs/>
          <w:caps/>
          <w:color w:val="435362"/>
          <w:spacing w:val="8"/>
          <w:kern w:val="0"/>
          <w:sz w:val="24"/>
          <w:szCs w:val="24"/>
          <w:lang w:eastAsia="fr-FR"/>
          <w14:ligatures w14:val="none"/>
        </w:rPr>
      </w:pPr>
    </w:p>
    <w:p w14:paraId="30051BAC" w14:textId="6BD36813" w:rsidR="009F550C" w:rsidRDefault="009F550C" w:rsidP="009F550C">
      <w:pPr>
        <w:spacing w:after="0" w:line="240" w:lineRule="auto"/>
        <w:rPr>
          <w:rFonts w:ascii="Arial" w:eastAsia="Times New Roman" w:hAnsi="Arial" w:cs="Arial"/>
          <w:spacing w:val="6"/>
          <w:kern w:val="0"/>
          <w:sz w:val="24"/>
          <w:szCs w:val="24"/>
          <w:lang w:eastAsia="fr-FR"/>
          <w14:ligatures w14:val="none"/>
        </w:rPr>
      </w:pPr>
      <w:r w:rsidRPr="009F550C">
        <w:rPr>
          <w:rFonts w:ascii="Arial" w:eastAsia="Times New Roman" w:hAnsi="Arial" w:cs="Arial"/>
          <w:spacing w:val="6"/>
          <w:kern w:val="0"/>
          <w:sz w:val="24"/>
          <w:szCs w:val="24"/>
          <w:lang w:eastAsia="fr-FR"/>
          <w14:ligatures w14:val="none"/>
        </w:rPr>
        <w:t xml:space="preserve">Dans le cadre de la mise en </w:t>
      </w:r>
      <w:proofErr w:type="spellStart"/>
      <w:r w:rsidRPr="009F550C">
        <w:rPr>
          <w:rFonts w:ascii="Arial" w:eastAsia="Times New Roman" w:hAnsi="Arial" w:cs="Arial"/>
          <w:spacing w:val="6"/>
          <w:kern w:val="0"/>
          <w:sz w:val="24"/>
          <w:szCs w:val="24"/>
          <w:lang w:eastAsia="fr-FR"/>
          <w14:ligatures w14:val="none"/>
        </w:rPr>
        <w:t>oeuvre</w:t>
      </w:r>
      <w:proofErr w:type="spellEnd"/>
      <w:r w:rsidRPr="009F550C">
        <w:rPr>
          <w:rFonts w:ascii="Arial" w:eastAsia="Times New Roman" w:hAnsi="Arial" w:cs="Arial"/>
          <w:spacing w:val="6"/>
          <w:kern w:val="0"/>
          <w:sz w:val="24"/>
          <w:szCs w:val="24"/>
          <w:lang w:eastAsia="fr-FR"/>
          <w14:ligatures w14:val="none"/>
        </w:rPr>
        <w:t xml:space="preserve"> du plan en faveur des indépendants, la loi de finances pour 2022 a prévu, à titre temporaire, la possibilité d’admettre en déduction du résultat imposable </w:t>
      </w:r>
      <w:r w:rsidRPr="009F550C">
        <w:rPr>
          <w:rFonts w:ascii="Arial" w:eastAsia="Times New Roman" w:hAnsi="Arial" w:cs="Arial"/>
          <w:b/>
          <w:bCs/>
          <w:spacing w:val="6"/>
          <w:kern w:val="0"/>
          <w:sz w:val="24"/>
          <w:szCs w:val="24"/>
          <w:lang w:eastAsia="fr-FR"/>
          <w14:ligatures w14:val="none"/>
        </w:rPr>
        <w:t>l’amortissement des fonds commerciaux et assimilés</w:t>
      </w:r>
      <w:r w:rsidRPr="009F550C">
        <w:rPr>
          <w:rFonts w:ascii="Arial" w:eastAsia="Times New Roman" w:hAnsi="Arial" w:cs="Arial"/>
          <w:spacing w:val="6"/>
          <w:kern w:val="0"/>
          <w:sz w:val="24"/>
          <w:szCs w:val="24"/>
          <w:lang w:eastAsia="fr-FR"/>
          <w14:ligatures w14:val="none"/>
        </w:rPr>
        <w:t> acquis à compter du 1</w:t>
      </w:r>
      <w:r w:rsidRPr="009F550C">
        <w:rPr>
          <w:rFonts w:ascii="Arial" w:eastAsia="Times New Roman" w:hAnsi="Arial" w:cs="Arial"/>
          <w:spacing w:val="6"/>
          <w:kern w:val="0"/>
          <w:sz w:val="24"/>
          <w:szCs w:val="24"/>
          <w:vertAlign w:val="superscript"/>
          <w:lang w:eastAsia="fr-FR"/>
          <w14:ligatures w14:val="none"/>
        </w:rPr>
        <w:t>er</w:t>
      </w:r>
      <w:r w:rsidRPr="009F550C">
        <w:rPr>
          <w:rFonts w:ascii="Arial" w:eastAsia="Times New Roman" w:hAnsi="Arial" w:cs="Arial"/>
          <w:spacing w:val="6"/>
          <w:kern w:val="0"/>
          <w:sz w:val="24"/>
          <w:szCs w:val="24"/>
          <w:lang w:eastAsia="fr-FR"/>
          <w14:ligatures w14:val="none"/>
        </w:rPr>
        <w:t> janvier 2022 et jusqu’au 31 décembre 2025</w:t>
      </w:r>
      <w:r>
        <w:rPr>
          <w:rFonts w:ascii="Arial" w:eastAsia="Times New Roman" w:hAnsi="Arial" w:cs="Arial"/>
          <w:spacing w:val="6"/>
          <w:kern w:val="0"/>
          <w:sz w:val="24"/>
          <w:szCs w:val="24"/>
          <w:lang w:eastAsia="fr-FR"/>
          <w14:ligatures w14:val="none"/>
        </w:rPr>
        <w:t>.</w:t>
      </w:r>
    </w:p>
    <w:p w14:paraId="436A9B44" w14:textId="77777777" w:rsidR="009F550C" w:rsidRDefault="009F550C" w:rsidP="009F550C">
      <w:pPr>
        <w:spacing w:after="0" w:line="240" w:lineRule="auto"/>
        <w:rPr>
          <w:rFonts w:ascii="Arial" w:eastAsia="Times New Roman" w:hAnsi="Arial" w:cs="Arial"/>
          <w:spacing w:val="6"/>
          <w:kern w:val="0"/>
          <w:sz w:val="24"/>
          <w:szCs w:val="24"/>
          <w:lang w:eastAsia="fr-FR"/>
          <w14:ligatures w14:val="none"/>
        </w:rPr>
      </w:pPr>
    </w:p>
    <w:p w14:paraId="4F0366EE" w14:textId="77777777" w:rsidR="009F550C" w:rsidRPr="009F550C" w:rsidRDefault="009F550C" w:rsidP="009F550C">
      <w:pPr>
        <w:spacing w:after="0" w:line="240" w:lineRule="auto"/>
        <w:rPr>
          <w:rFonts w:ascii="Arial" w:eastAsia="Times New Roman" w:hAnsi="Arial" w:cs="Arial"/>
          <w:spacing w:val="6"/>
          <w:kern w:val="0"/>
          <w:sz w:val="24"/>
          <w:szCs w:val="24"/>
          <w:lang w:eastAsia="fr-FR"/>
          <w14:ligatures w14:val="none"/>
        </w:rPr>
      </w:pPr>
      <w:r w:rsidRPr="009F550C">
        <w:rPr>
          <w:rFonts w:ascii="Arial" w:eastAsia="Times New Roman" w:hAnsi="Arial" w:cs="Arial"/>
          <w:spacing w:val="6"/>
          <w:kern w:val="0"/>
          <w:sz w:val="24"/>
          <w:szCs w:val="24"/>
          <w:lang w:eastAsia="fr-FR"/>
          <w14:ligatures w14:val="none"/>
        </w:rPr>
        <w:t>Ce dispositif temporaire a pour but de soutenir la reprise et la continuité de l’activité économique, dans le contexte de sortie de crise liée à </w:t>
      </w:r>
      <w:r w:rsidRPr="009F550C">
        <w:rPr>
          <w:rFonts w:ascii="Arial" w:eastAsia="Times New Roman" w:hAnsi="Arial" w:cs="Arial"/>
          <w:b/>
          <w:bCs/>
          <w:spacing w:val="6"/>
          <w:kern w:val="0"/>
          <w:sz w:val="24"/>
          <w:szCs w:val="24"/>
          <w:lang w:eastAsia="fr-FR"/>
          <w14:ligatures w14:val="none"/>
        </w:rPr>
        <w:t>l’épidémie de Covid-19</w:t>
      </w:r>
      <w:r w:rsidRPr="009F550C">
        <w:rPr>
          <w:rFonts w:ascii="Arial" w:eastAsia="Times New Roman" w:hAnsi="Arial" w:cs="Arial"/>
          <w:spacing w:val="6"/>
          <w:kern w:val="0"/>
          <w:sz w:val="24"/>
          <w:szCs w:val="24"/>
          <w:lang w:eastAsia="fr-FR"/>
          <w14:ligatures w14:val="none"/>
        </w:rPr>
        <w:t>, et d’encourager le rachat de fonds commerciaux, en réduisant le coût lié à la reprise d’une entreprise pour tout investisseur.</w:t>
      </w:r>
    </w:p>
    <w:p w14:paraId="5090A34F" w14:textId="77777777" w:rsidR="009F550C" w:rsidRPr="009F550C" w:rsidRDefault="009F550C" w:rsidP="009F550C">
      <w:pPr>
        <w:spacing w:after="0" w:line="240" w:lineRule="auto"/>
        <w:rPr>
          <w:rFonts w:ascii="Arial" w:eastAsia="Times New Roman" w:hAnsi="Arial" w:cs="Arial"/>
          <w:spacing w:val="6"/>
          <w:kern w:val="0"/>
          <w:sz w:val="24"/>
          <w:szCs w:val="24"/>
          <w:lang w:eastAsia="fr-FR"/>
          <w14:ligatures w14:val="none"/>
        </w:rPr>
      </w:pPr>
      <w:r w:rsidRPr="009F550C">
        <w:rPr>
          <w:rFonts w:ascii="Arial" w:eastAsia="Times New Roman" w:hAnsi="Arial" w:cs="Arial"/>
          <w:spacing w:val="6"/>
          <w:kern w:val="0"/>
          <w:sz w:val="24"/>
          <w:szCs w:val="24"/>
          <w:lang w:eastAsia="fr-FR"/>
          <w14:ligatures w14:val="none"/>
        </w:rPr>
        <w:t>Son objectif est de soutenir le cessionnaire, via </w:t>
      </w:r>
      <w:r w:rsidRPr="009F550C">
        <w:rPr>
          <w:rFonts w:ascii="Arial" w:eastAsia="Times New Roman" w:hAnsi="Arial" w:cs="Arial"/>
          <w:b/>
          <w:bCs/>
          <w:spacing w:val="6"/>
          <w:kern w:val="0"/>
          <w:sz w:val="24"/>
          <w:szCs w:val="24"/>
          <w:lang w:eastAsia="fr-FR"/>
          <w14:ligatures w14:val="none"/>
        </w:rPr>
        <w:t>l’économie d’impôt</w:t>
      </w:r>
      <w:r w:rsidRPr="009F550C">
        <w:rPr>
          <w:rFonts w:ascii="Arial" w:eastAsia="Times New Roman" w:hAnsi="Arial" w:cs="Arial"/>
          <w:spacing w:val="6"/>
          <w:kern w:val="0"/>
          <w:sz w:val="24"/>
          <w:szCs w:val="24"/>
          <w:lang w:eastAsia="fr-FR"/>
          <w14:ligatures w14:val="none"/>
        </w:rPr>
        <w:t> directement liée à la déduction fiscale de l’amortissement pratiquée en comptabilité.</w:t>
      </w:r>
    </w:p>
    <w:p w14:paraId="57D5E849" w14:textId="284CA215" w:rsidR="009F550C" w:rsidRPr="009F550C" w:rsidRDefault="009F550C" w:rsidP="009F550C">
      <w:pPr>
        <w:spacing w:after="0" w:line="240" w:lineRule="auto"/>
        <w:rPr>
          <w:rFonts w:ascii="Arial" w:eastAsia="Times New Roman" w:hAnsi="Arial" w:cs="Arial"/>
          <w:spacing w:val="6"/>
          <w:kern w:val="0"/>
          <w:sz w:val="24"/>
          <w:szCs w:val="24"/>
          <w:lang w:eastAsia="fr-FR"/>
          <w14:ligatures w14:val="none"/>
        </w:rPr>
      </w:pPr>
      <w:r w:rsidRPr="009F550C">
        <w:rPr>
          <w:rFonts w:ascii="Arial" w:eastAsia="Times New Roman" w:hAnsi="Arial" w:cs="Arial"/>
          <w:spacing w:val="6"/>
          <w:kern w:val="0"/>
          <w:sz w:val="24"/>
          <w:szCs w:val="24"/>
          <w:lang w:eastAsia="fr-FR"/>
          <w14:ligatures w14:val="none"/>
        </w:rPr>
        <w:t>Toutefois, à peine entrée en vigueur ce dispositif fait déjà l'objet d'une première restriction. Un </w:t>
      </w:r>
      <w:r w:rsidRPr="009F550C">
        <w:rPr>
          <w:rFonts w:ascii="Arial" w:eastAsia="Times New Roman" w:hAnsi="Arial" w:cs="Arial"/>
          <w:b/>
          <w:bCs/>
          <w:spacing w:val="6"/>
          <w:kern w:val="0"/>
          <w:sz w:val="24"/>
          <w:szCs w:val="24"/>
          <w:lang w:eastAsia="fr-FR"/>
          <w14:ligatures w14:val="none"/>
        </w:rPr>
        <w:t>amendement</w:t>
      </w:r>
      <w:r w:rsidRPr="009F550C">
        <w:rPr>
          <w:rFonts w:ascii="Arial" w:eastAsia="Times New Roman" w:hAnsi="Arial" w:cs="Arial"/>
          <w:spacing w:val="6"/>
          <w:kern w:val="0"/>
          <w:sz w:val="24"/>
          <w:szCs w:val="24"/>
          <w:lang w:eastAsia="fr-FR"/>
          <w14:ligatures w14:val="none"/>
        </w:rPr>
        <w:t> au projet de loi de finances rectificative pour 2022, qui vient d'être adopté en première lecture par les députés, prévoit en effet l’ajout d’une "clause anti-abus" </w:t>
      </w:r>
      <w:r w:rsidRPr="009F550C">
        <w:rPr>
          <w:rFonts w:ascii="Arial" w:eastAsia="Times New Roman" w:hAnsi="Arial" w:cs="Arial"/>
          <w:b/>
          <w:bCs/>
          <w:spacing w:val="6"/>
          <w:kern w:val="0"/>
          <w:sz w:val="24"/>
          <w:szCs w:val="24"/>
          <w:lang w:eastAsia="fr-FR"/>
          <w14:ligatures w14:val="none"/>
        </w:rPr>
        <w:t>excluant</w:t>
      </w:r>
      <w:r w:rsidRPr="009F550C">
        <w:rPr>
          <w:rFonts w:ascii="Arial" w:eastAsia="Times New Roman" w:hAnsi="Arial" w:cs="Arial"/>
          <w:spacing w:val="6"/>
          <w:kern w:val="0"/>
          <w:sz w:val="24"/>
          <w:szCs w:val="24"/>
          <w:lang w:eastAsia="fr-FR"/>
          <w14:ligatures w14:val="none"/>
        </w:rPr>
        <w:t> du champ du dispositif les fonds commerciaux </w:t>
      </w:r>
      <w:r w:rsidRPr="009F550C">
        <w:rPr>
          <w:rFonts w:ascii="Arial" w:eastAsia="Times New Roman" w:hAnsi="Arial" w:cs="Arial"/>
          <w:b/>
          <w:bCs/>
          <w:spacing w:val="6"/>
          <w:kern w:val="0"/>
          <w:sz w:val="24"/>
          <w:szCs w:val="24"/>
          <w:lang w:eastAsia="fr-FR"/>
          <w14:ligatures w14:val="none"/>
        </w:rPr>
        <w:t>acquis auprès d’une entreprise liée et contrôlée</w:t>
      </w:r>
      <w:r w:rsidRPr="009F550C">
        <w:rPr>
          <w:rFonts w:ascii="Arial" w:eastAsia="Times New Roman" w:hAnsi="Arial" w:cs="Arial"/>
          <w:spacing w:val="6"/>
          <w:kern w:val="0"/>
          <w:sz w:val="24"/>
          <w:szCs w:val="24"/>
          <w:lang w:eastAsia="fr-FR"/>
          <w14:ligatures w14:val="none"/>
        </w:rPr>
        <w:t>, ou auprès d’une entreprise placée sous le contrôle de la même personne physique que l’entreprise qui acquiert le fonds.</w:t>
      </w:r>
    </w:p>
    <w:p w14:paraId="443D2983" w14:textId="77777777" w:rsidR="009F550C" w:rsidRPr="009F550C" w:rsidRDefault="009F550C" w:rsidP="009F550C">
      <w:pPr>
        <w:spacing w:after="0" w:line="240" w:lineRule="auto"/>
        <w:rPr>
          <w:rFonts w:ascii="Arial" w:eastAsia="Times New Roman" w:hAnsi="Arial" w:cs="Arial"/>
          <w:spacing w:val="6"/>
          <w:kern w:val="0"/>
          <w:sz w:val="24"/>
          <w:szCs w:val="24"/>
          <w:lang w:eastAsia="fr-FR"/>
          <w14:ligatures w14:val="none"/>
        </w:rPr>
      </w:pPr>
      <w:r w:rsidRPr="009F550C">
        <w:rPr>
          <w:rFonts w:ascii="Arial" w:eastAsia="Times New Roman" w:hAnsi="Arial" w:cs="Arial"/>
          <w:spacing w:val="6"/>
          <w:kern w:val="0"/>
          <w:sz w:val="24"/>
          <w:szCs w:val="24"/>
          <w:lang w:eastAsia="fr-FR"/>
          <w14:ligatures w14:val="none"/>
        </w:rPr>
        <w:t>Cette mesure vise notamment à exclure les opérations entre entreprises </w:t>
      </w:r>
      <w:r w:rsidRPr="009F550C">
        <w:rPr>
          <w:rFonts w:ascii="Arial" w:eastAsia="Times New Roman" w:hAnsi="Arial" w:cs="Arial"/>
          <w:b/>
          <w:bCs/>
          <w:spacing w:val="6"/>
          <w:kern w:val="0"/>
          <w:sz w:val="24"/>
          <w:szCs w:val="24"/>
          <w:lang w:eastAsia="fr-FR"/>
          <w14:ligatures w14:val="none"/>
        </w:rPr>
        <w:t>ayant un lien de dépendance</w:t>
      </w:r>
      <w:r w:rsidRPr="009F550C">
        <w:rPr>
          <w:rFonts w:ascii="Arial" w:eastAsia="Times New Roman" w:hAnsi="Arial" w:cs="Arial"/>
          <w:spacing w:val="6"/>
          <w:kern w:val="0"/>
          <w:sz w:val="24"/>
          <w:szCs w:val="24"/>
          <w:lang w:eastAsia="fr-FR"/>
          <w14:ligatures w14:val="none"/>
        </w:rPr>
        <w:t> (cessions à titre onéreux, fusions, etc.), ainsi que les situations dans lesquelles une personne physique apporte son entreprise individuelle, ou une branche complète d’activité, à une </w:t>
      </w:r>
      <w:r w:rsidRPr="009F550C">
        <w:rPr>
          <w:rFonts w:ascii="Arial" w:eastAsia="Times New Roman" w:hAnsi="Arial" w:cs="Arial"/>
          <w:b/>
          <w:bCs/>
          <w:spacing w:val="6"/>
          <w:kern w:val="0"/>
          <w:sz w:val="24"/>
          <w:szCs w:val="24"/>
          <w:lang w:eastAsia="fr-FR"/>
          <w14:ligatures w14:val="none"/>
        </w:rPr>
        <w:t>société</w:t>
      </w:r>
      <w:r w:rsidRPr="009F550C">
        <w:rPr>
          <w:rFonts w:ascii="Arial" w:eastAsia="Times New Roman" w:hAnsi="Arial" w:cs="Arial"/>
          <w:spacing w:val="6"/>
          <w:kern w:val="0"/>
          <w:sz w:val="24"/>
          <w:szCs w:val="24"/>
          <w:lang w:eastAsia="fr-FR"/>
          <w14:ligatures w14:val="none"/>
        </w:rPr>
        <w:t> qu’elle contrôle ou est amenée à contrôler à la suite de l’opération d’apport.</w:t>
      </w:r>
    </w:p>
    <w:p w14:paraId="796E5D21" w14:textId="77777777" w:rsidR="009F550C" w:rsidRPr="009F550C" w:rsidRDefault="009F550C" w:rsidP="009F550C">
      <w:pPr>
        <w:spacing w:after="0" w:line="240" w:lineRule="auto"/>
        <w:rPr>
          <w:rFonts w:ascii="Arial" w:eastAsia="Times New Roman" w:hAnsi="Arial" w:cs="Arial"/>
          <w:spacing w:val="6"/>
          <w:kern w:val="0"/>
          <w:sz w:val="24"/>
          <w:szCs w:val="24"/>
          <w:lang w:eastAsia="fr-FR"/>
          <w14:ligatures w14:val="none"/>
        </w:rPr>
      </w:pPr>
      <w:r w:rsidRPr="009F550C">
        <w:rPr>
          <w:rFonts w:ascii="Arial" w:eastAsia="Times New Roman" w:hAnsi="Arial" w:cs="Arial"/>
          <w:spacing w:val="6"/>
          <w:kern w:val="0"/>
          <w:sz w:val="24"/>
          <w:szCs w:val="24"/>
          <w:lang w:eastAsia="fr-FR"/>
          <w14:ligatures w14:val="none"/>
        </w:rPr>
        <w:t>Par ailleurs, le même amendement clarifie les modalités d’application combinée du </w:t>
      </w:r>
      <w:r w:rsidRPr="009F550C">
        <w:rPr>
          <w:rFonts w:ascii="Arial" w:eastAsia="Times New Roman" w:hAnsi="Arial" w:cs="Arial"/>
          <w:b/>
          <w:bCs/>
          <w:spacing w:val="6"/>
          <w:kern w:val="0"/>
          <w:sz w:val="24"/>
          <w:szCs w:val="24"/>
          <w:lang w:eastAsia="fr-FR"/>
          <w14:ligatures w14:val="none"/>
        </w:rPr>
        <w:t>régime spécial des fusions</w:t>
      </w:r>
      <w:r w:rsidRPr="009F550C">
        <w:rPr>
          <w:rFonts w:ascii="Arial" w:eastAsia="Times New Roman" w:hAnsi="Arial" w:cs="Arial"/>
          <w:spacing w:val="6"/>
          <w:kern w:val="0"/>
          <w:sz w:val="24"/>
          <w:szCs w:val="24"/>
          <w:lang w:eastAsia="fr-FR"/>
          <w14:ligatures w14:val="none"/>
        </w:rPr>
        <w:t> et de ce dispositif temporaire d’amortissement fiscal des fonds commerciaux.</w:t>
      </w:r>
    </w:p>
    <w:p w14:paraId="19F7B353" w14:textId="77777777" w:rsidR="009F550C" w:rsidRPr="009F550C" w:rsidRDefault="009F550C" w:rsidP="009F550C">
      <w:pPr>
        <w:spacing w:after="0" w:line="240" w:lineRule="auto"/>
        <w:rPr>
          <w:rFonts w:ascii="Arial" w:eastAsia="Times New Roman" w:hAnsi="Arial" w:cs="Arial"/>
          <w:spacing w:val="6"/>
          <w:kern w:val="0"/>
          <w:sz w:val="24"/>
          <w:szCs w:val="24"/>
          <w:lang w:eastAsia="fr-FR"/>
          <w14:ligatures w14:val="none"/>
        </w:rPr>
      </w:pPr>
      <w:r w:rsidRPr="009F550C">
        <w:rPr>
          <w:rFonts w:ascii="Arial" w:eastAsia="Times New Roman" w:hAnsi="Arial" w:cs="Arial"/>
          <w:spacing w:val="6"/>
          <w:kern w:val="0"/>
          <w:sz w:val="24"/>
          <w:szCs w:val="24"/>
          <w:lang w:eastAsia="fr-FR"/>
          <w14:ligatures w14:val="none"/>
        </w:rPr>
        <w:t>En effet, le régime spécial des fusions prévoit un traitement différent de la </w:t>
      </w:r>
      <w:r w:rsidRPr="009F550C">
        <w:rPr>
          <w:rFonts w:ascii="Arial" w:eastAsia="Times New Roman" w:hAnsi="Arial" w:cs="Arial"/>
          <w:b/>
          <w:bCs/>
          <w:spacing w:val="6"/>
          <w:kern w:val="0"/>
          <w:sz w:val="24"/>
          <w:szCs w:val="24"/>
          <w:lang w:eastAsia="fr-FR"/>
          <w14:ligatures w14:val="none"/>
        </w:rPr>
        <w:t>plus-value d’apport</w:t>
      </w:r>
      <w:r w:rsidRPr="009F550C">
        <w:rPr>
          <w:rFonts w:ascii="Arial" w:eastAsia="Times New Roman" w:hAnsi="Arial" w:cs="Arial"/>
          <w:spacing w:val="6"/>
          <w:kern w:val="0"/>
          <w:sz w:val="24"/>
          <w:szCs w:val="24"/>
          <w:lang w:eastAsia="fr-FR"/>
          <w14:ligatures w14:val="none"/>
        </w:rPr>
        <w:t> selon le caractère, amortissable ou non, de l’actif reçu dans le cadre de la fusion. En conséquence, le présent amendement précise qu’un fonds commercial qui donne lieu à un amortissement déduit du résultat imposable doit être regardé, pour l’application du régime spécial des fusions, comme un </w:t>
      </w:r>
      <w:r w:rsidRPr="009F550C">
        <w:rPr>
          <w:rFonts w:ascii="Arial" w:eastAsia="Times New Roman" w:hAnsi="Arial" w:cs="Arial"/>
          <w:b/>
          <w:bCs/>
          <w:spacing w:val="6"/>
          <w:kern w:val="0"/>
          <w:sz w:val="24"/>
          <w:szCs w:val="24"/>
          <w:lang w:eastAsia="fr-FR"/>
          <w14:ligatures w14:val="none"/>
        </w:rPr>
        <w:t>actif amortissable</w:t>
      </w:r>
      <w:r w:rsidRPr="009F550C">
        <w:rPr>
          <w:rFonts w:ascii="Arial" w:eastAsia="Times New Roman" w:hAnsi="Arial" w:cs="Arial"/>
          <w:spacing w:val="6"/>
          <w:kern w:val="0"/>
          <w:sz w:val="24"/>
          <w:szCs w:val="24"/>
          <w:lang w:eastAsia="fr-FR"/>
          <w14:ligatures w14:val="none"/>
        </w:rPr>
        <w:t>. Dès lors, lorsque la société absorbante choisit, toutes conditions étant par ailleurs remplies, d’amortir le fonds qu’elle a reçu entre le 1</w:t>
      </w:r>
      <w:r w:rsidRPr="009F550C">
        <w:rPr>
          <w:rFonts w:ascii="Arial" w:eastAsia="Times New Roman" w:hAnsi="Arial" w:cs="Arial"/>
          <w:spacing w:val="6"/>
          <w:kern w:val="0"/>
          <w:sz w:val="24"/>
          <w:szCs w:val="24"/>
          <w:vertAlign w:val="superscript"/>
          <w:lang w:eastAsia="fr-FR"/>
          <w14:ligatures w14:val="none"/>
        </w:rPr>
        <w:t>er</w:t>
      </w:r>
      <w:r w:rsidRPr="009F550C">
        <w:rPr>
          <w:rFonts w:ascii="Arial" w:eastAsia="Times New Roman" w:hAnsi="Arial" w:cs="Arial"/>
          <w:spacing w:val="6"/>
          <w:kern w:val="0"/>
          <w:sz w:val="24"/>
          <w:szCs w:val="24"/>
          <w:lang w:eastAsia="fr-FR"/>
          <w14:ligatures w14:val="none"/>
        </w:rPr>
        <w:t> janvier 2022 et le 31 décembre 2025, elle est tenue d’appliquer le </w:t>
      </w:r>
      <w:r w:rsidRPr="009F550C">
        <w:rPr>
          <w:rFonts w:ascii="Arial" w:eastAsia="Times New Roman" w:hAnsi="Arial" w:cs="Arial"/>
          <w:b/>
          <w:bCs/>
          <w:spacing w:val="6"/>
          <w:kern w:val="0"/>
          <w:sz w:val="24"/>
          <w:szCs w:val="24"/>
          <w:lang w:eastAsia="fr-FR"/>
          <w14:ligatures w14:val="none"/>
        </w:rPr>
        <w:t>régime d’étalement</w:t>
      </w:r>
      <w:r w:rsidRPr="009F550C">
        <w:rPr>
          <w:rFonts w:ascii="Arial" w:eastAsia="Times New Roman" w:hAnsi="Arial" w:cs="Arial"/>
          <w:spacing w:val="6"/>
          <w:kern w:val="0"/>
          <w:sz w:val="24"/>
          <w:szCs w:val="24"/>
          <w:lang w:eastAsia="fr-FR"/>
          <w14:ligatures w14:val="none"/>
        </w:rPr>
        <w:t> de l’imposition de la plus-value dégagée lors de l’apport de ce fonds, en application des règles de droit commun du régime spécial des fusions.</w:t>
      </w:r>
    </w:p>
    <w:p w14:paraId="4EA74633" w14:textId="77777777" w:rsidR="009F550C" w:rsidRPr="009F550C" w:rsidRDefault="009F550C" w:rsidP="009F550C">
      <w:pPr>
        <w:spacing w:after="0" w:line="240" w:lineRule="auto"/>
        <w:rPr>
          <w:rFonts w:ascii="Arial" w:eastAsia="Times New Roman" w:hAnsi="Arial" w:cs="Arial"/>
          <w:spacing w:val="6"/>
          <w:kern w:val="0"/>
          <w:sz w:val="24"/>
          <w:szCs w:val="24"/>
          <w:lang w:eastAsia="fr-FR"/>
          <w14:ligatures w14:val="none"/>
        </w:rPr>
      </w:pPr>
      <w:r w:rsidRPr="009F550C">
        <w:rPr>
          <w:rFonts w:ascii="Arial" w:eastAsia="Times New Roman" w:hAnsi="Arial" w:cs="Arial"/>
          <w:spacing w:val="6"/>
          <w:kern w:val="0"/>
          <w:sz w:val="24"/>
          <w:szCs w:val="24"/>
          <w:lang w:eastAsia="fr-FR"/>
          <w14:ligatures w14:val="none"/>
        </w:rPr>
        <w:t>Selon les députés auteurs de l'amendement, cette clarification permettrait d’éviter des </w:t>
      </w:r>
      <w:r w:rsidRPr="009F550C">
        <w:rPr>
          <w:rFonts w:ascii="Arial" w:eastAsia="Times New Roman" w:hAnsi="Arial" w:cs="Arial"/>
          <w:b/>
          <w:bCs/>
          <w:spacing w:val="6"/>
          <w:kern w:val="0"/>
          <w:sz w:val="24"/>
          <w:szCs w:val="24"/>
          <w:lang w:eastAsia="fr-FR"/>
          <w14:ligatures w14:val="none"/>
        </w:rPr>
        <w:t>situations abusives</w:t>
      </w:r>
      <w:r w:rsidRPr="009F550C">
        <w:rPr>
          <w:rFonts w:ascii="Arial" w:eastAsia="Times New Roman" w:hAnsi="Arial" w:cs="Arial"/>
          <w:spacing w:val="6"/>
          <w:kern w:val="0"/>
          <w:sz w:val="24"/>
          <w:szCs w:val="24"/>
          <w:lang w:eastAsia="fr-FR"/>
          <w14:ligatures w14:val="none"/>
        </w:rPr>
        <w:t> dans lesquelles une entreprise pourrait déduire des amortissements sur un actif reçu dans le cadre d’une fusion alors que la plus-value d’apport ne serait pas intégrée à son résultat imposable.</w:t>
      </w:r>
    </w:p>
    <w:p w14:paraId="023D0493" w14:textId="1EF2B8CD" w:rsidR="009F550C" w:rsidRDefault="009F550C" w:rsidP="009F550C">
      <w:pPr>
        <w:spacing w:after="0" w:line="240" w:lineRule="auto"/>
        <w:rPr>
          <w:rFonts w:ascii="Arial" w:eastAsia="Times New Roman" w:hAnsi="Arial" w:cs="Arial"/>
          <w:spacing w:val="6"/>
          <w:kern w:val="0"/>
          <w:sz w:val="24"/>
          <w:szCs w:val="24"/>
          <w:lang w:eastAsia="fr-FR"/>
          <w14:ligatures w14:val="none"/>
        </w:rPr>
      </w:pPr>
      <w:r w:rsidRPr="009F550C">
        <w:rPr>
          <w:rFonts w:ascii="Arial" w:eastAsia="Times New Roman" w:hAnsi="Arial" w:cs="Arial"/>
          <w:spacing w:val="6"/>
          <w:kern w:val="0"/>
          <w:sz w:val="24"/>
          <w:szCs w:val="24"/>
          <w:lang w:eastAsia="fr-FR"/>
          <w14:ligatures w14:val="none"/>
        </w:rPr>
        <w:lastRenderedPageBreak/>
        <w:t>Si elle est également adoptée en l'état par le Sénat, cette nouvelle disposition s'appliquera aux </w:t>
      </w:r>
      <w:r w:rsidRPr="009F550C">
        <w:rPr>
          <w:rFonts w:ascii="Arial" w:eastAsia="Times New Roman" w:hAnsi="Arial" w:cs="Arial"/>
          <w:b/>
          <w:bCs/>
          <w:spacing w:val="6"/>
          <w:kern w:val="0"/>
          <w:sz w:val="24"/>
          <w:szCs w:val="24"/>
          <w:lang w:eastAsia="fr-FR"/>
          <w14:ligatures w14:val="none"/>
        </w:rPr>
        <w:t>acquisitions de fonds commerciaux</w:t>
      </w:r>
      <w:r w:rsidRPr="009F550C">
        <w:rPr>
          <w:rFonts w:ascii="Arial" w:eastAsia="Times New Roman" w:hAnsi="Arial" w:cs="Arial"/>
          <w:spacing w:val="6"/>
          <w:kern w:val="0"/>
          <w:sz w:val="24"/>
          <w:szCs w:val="24"/>
          <w:lang w:eastAsia="fr-FR"/>
          <w14:ligatures w14:val="none"/>
        </w:rPr>
        <w:t> intervenues à compter du </w:t>
      </w:r>
      <w:r w:rsidRPr="009F550C">
        <w:rPr>
          <w:rFonts w:ascii="Arial" w:eastAsia="Times New Roman" w:hAnsi="Arial" w:cs="Arial"/>
          <w:b/>
          <w:bCs/>
          <w:spacing w:val="6"/>
          <w:kern w:val="0"/>
          <w:sz w:val="24"/>
          <w:szCs w:val="24"/>
          <w:lang w:eastAsia="fr-FR"/>
          <w14:ligatures w14:val="none"/>
        </w:rPr>
        <w:t>18 juillet 2022</w:t>
      </w:r>
      <w:r w:rsidRPr="009F550C">
        <w:rPr>
          <w:rFonts w:ascii="Arial" w:eastAsia="Times New Roman" w:hAnsi="Arial" w:cs="Arial"/>
          <w:spacing w:val="6"/>
          <w:kern w:val="0"/>
          <w:sz w:val="24"/>
          <w:szCs w:val="24"/>
          <w:lang w:eastAsia="fr-FR"/>
          <w14:ligatures w14:val="none"/>
        </w:rPr>
        <w:t>.</w:t>
      </w:r>
    </w:p>
    <w:p w14:paraId="60A85AA6" w14:textId="77777777" w:rsidR="009F550C" w:rsidRPr="009F550C" w:rsidRDefault="009F550C" w:rsidP="009F550C">
      <w:pPr>
        <w:spacing w:after="0" w:line="240" w:lineRule="auto"/>
        <w:rPr>
          <w:rFonts w:ascii="Arial" w:eastAsia="Times New Roman" w:hAnsi="Arial" w:cs="Arial"/>
          <w:spacing w:val="6"/>
          <w:kern w:val="0"/>
          <w:sz w:val="24"/>
          <w:szCs w:val="24"/>
          <w:lang w:eastAsia="fr-FR"/>
          <w14:ligatures w14:val="none"/>
        </w:rPr>
      </w:pPr>
    </w:p>
    <w:p w14:paraId="79E51A0B" w14:textId="35AA8BC4" w:rsidR="009F550C" w:rsidRDefault="009F550C" w:rsidP="009F550C">
      <w:pPr>
        <w:spacing w:after="0" w:line="240" w:lineRule="auto"/>
        <w:outlineLvl w:val="1"/>
        <w:rPr>
          <w:rFonts w:ascii="Arial" w:eastAsia="Times New Roman" w:hAnsi="Arial" w:cs="Arial"/>
          <w:b/>
          <w:bCs/>
          <w:caps/>
          <w:color w:val="435362"/>
          <w:spacing w:val="8"/>
          <w:kern w:val="0"/>
          <w:sz w:val="24"/>
          <w:szCs w:val="24"/>
          <w:lang w:eastAsia="fr-FR"/>
          <w14:ligatures w14:val="none"/>
        </w:rPr>
      </w:pPr>
      <w:r w:rsidRPr="009F550C">
        <w:rPr>
          <w:rFonts w:ascii="Arial" w:eastAsia="Times New Roman" w:hAnsi="Arial" w:cs="Arial"/>
          <w:b/>
          <w:bCs/>
          <w:caps/>
          <w:color w:val="435362"/>
          <w:spacing w:val="8"/>
          <w:kern w:val="0"/>
          <w:sz w:val="24"/>
          <w:szCs w:val="24"/>
          <w:lang w:eastAsia="fr-FR"/>
          <w14:ligatures w14:val="none"/>
        </w:rPr>
        <w:t>PACTE DUTREIL</w:t>
      </w:r>
    </w:p>
    <w:p w14:paraId="6AC0A289" w14:textId="77777777" w:rsidR="009F550C" w:rsidRPr="009F550C" w:rsidRDefault="009F550C" w:rsidP="009F550C">
      <w:pPr>
        <w:spacing w:after="0" w:line="240" w:lineRule="auto"/>
        <w:outlineLvl w:val="1"/>
        <w:rPr>
          <w:rFonts w:ascii="Arial" w:eastAsia="Times New Roman" w:hAnsi="Arial" w:cs="Arial"/>
          <w:b/>
          <w:bCs/>
          <w:caps/>
          <w:color w:val="435362"/>
          <w:spacing w:val="8"/>
          <w:kern w:val="0"/>
          <w:sz w:val="24"/>
          <w:szCs w:val="24"/>
          <w:lang w:eastAsia="fr-FR"/>
          <w14:ligatures w14:val="none"/>
        </w:rPr>
      </w:pPr>
    </w:p>
    <w:p w14:paraId="6525235D" w14:textId="77777777" w:rsidR="009F550C" w:rsidRPr="009F550C" w:rsidRDefault="009F550C" w:rsidP="009F550C">
      <w:pPr>
        <w:spacing w:after="0" w:line="240" w:lineRule="auto"/>
        <w:rPr>
          <w:rFonts w:ascii="Arial" w:eastAsia="Times New Roman" w:hAnsi="Arial" w:cs="Arial"/>
          <w:spacing w:val="6"/>
          <w:kern w:val="0"/>
          <w:sz w:val="24"/>
          <w:szCs w:val="24"/>
          <w:lang w:eastAsia="fr-FR"/>
          <w14:ligatures w14:val="none"/>
        </w:rPr>
      </w:pPr>
      <w:r w:rsidRPr="009F550C">
        <w:rPr>
          <w:rFonts w:ascii="Arial" w:eastAsia="Times New Roman" w:hAnsi="Arial" w:cs="Arial"/>
          <w:spacing w:val="6"/>
          <w:kern w:val="0"/>
          <w:sz w:val="24"/>
          <w:szCs w:val="24"/>
          <w:lang w:eastAsia="fr-FR"/>
          <w14:ligatures w14:val="none"/>
        </w:rPr>
        <w:t>Le Pacte Dutreil Transmission est un dispositif fiscal qui permet de bénéficier d'une </w:t>
      </w:r>
      <w:r w:rsidRPr="009F550C">
        <w:rPr>
          <w:rFonts w:ascii="Arial" w:eastAsia="Times New Roman" w:hAnsi="Arial" w:cs="Arial"/>
          <w:b/>
          <w:bCs/>
          <w:spacing w:val="6"/>
          <w:kern w:val="0"/>
          <w:sz w:val="24"/>
          <w:szCs w:val="24"/>
          <w:lang w:eastAsia="fr-FR"/>
          <w14:ligatures w14:val="none"/>
        </w:rPr>
        <w:t>réduction importante des droits de mutation</w:t>
      </w:r>
      <w:r w:rsidRPr="009F550C">
        <w:rPr>
          <w:rFonts w:ascii="Arial" w:eastAsia="Times New Roman" w:hAnsi="Arial" w:cs="Arial"/>
          <w:spacing w:val="6"/>
          <w:kern w:val="0"/>
          <w:sz w:val="24"/>
          <w:szCs w:val="24"/>
          <w:lang w:eastAsia="fr-FR"/>
          <w14:ligatures w14:val="none"/>
        </w:rPr>
        <w:t> dus en cas de transmission de ses parts sociales par voie de </w:t>
      </w:r>
      <w:r w:rsidRPr="009F550C">
        <w:rPr>
          <w:rFonts w:ascii="Arial" w:eastAsia="Times New Roman" w:hAnsi="Arial" w:cs="Arial"/>
          <w:b/>
          <w:bCs/>
          <w:spacing w:val="6"/>
          <w:kern w:val="0"/>
          <w:sz w:val="24"/>
          <w:szCs w:val="24"/>
          <w:lang w:eastAsia="fr-FR"/>
          <w14:ligatures w14:val="none"/>
        </w:rPr>
        <w:t>donation entre vifs</w:t>
      </w:r>
      <w:r w:rsidRPr="009F550C">
        <w:rPr>
          <w:rFonts w:ascii="Arial" w:eastAsia="Times New Roman" w:hAnsi="Arial" w:cs="Arial"/>
          <w:spacing w:val="6"/>
          <w:kern w:val="0"/>
          <w:sz w:val="24"/>
          <w:szCs w:val="24"/>
          <w:lang w:eastAsia="fr-FR"/>
          <w14:ligatures w14:val="none"/>
        </w:rPr>
        <w:t> ou en cas de </w:t>
      </w:r>
      <w:r w:rsidRPr="009F550C">
        <w:rPr>
          <w:rFonts w:ascii="Arial" w:eastAsia="Times New Roman" w:hAnsi="Arial" w:cs="Arial"/>
          <w:b/>
          <w:bCs/>
          <w:spacing w:val="6"/>
          <w:kern w:val="0"/>
          <w:sz w:val="24"/>
          <w:szCs w:val="24"/>
          <w:lang w:eastAsia="fr-FR"/>
          <w14:ligatures w14:val="none"/>
        </w:rPr>
        <w:t>décès</w:t>
      </w:r>
      <w:r w:rsidRPr="009F550C">
        <w:rPr>
          <w:rFonts w:ascii="Arial" w:eastAsia="Times New Roman" w:hAnsi="Arial" w:cs="Arial"/>
          <w:spacing w:val="6"/>
          <w:kern w:val="0"/>
          <w:sz w:val="24"/>
          <w:szCs w:val="24"/>
          <w:lang w:eastAsia="fr-FR"/>
          <w14:ligatures w14:val="none"/>
        </w:rPr>
        <w:t>.</w:t>
      </w:r>
    </w:p>
    <w:p w14:paraId="62502DCB" w14:textId="77777777" w:rsidR="009F550C" w:rsidRPr="009F550C" w:rsidRDefault="009F550C" w:rsidP="009F550C">
      <w:pPr>
        <w:spacing w:after="0" w:line="240" w:lineRule="auto"/>
        <w:rPr>
          <w:rFonts w:ascii="Arial" w:eastAsia="Times New Roman" w:hAnsi="Arial" w:cs="Arial"/>
          <w:spacing w:val="6"/>
          <w:kern w:val="0"/>
          <w:sz w:val="24"/>
          <w:szCs w:val="24"/>
          <w:lang w:eastAsia="fr-FR"/>
          <w14:ligatures w14:val="none"/>
        </w:rPr>
      </w:pPr>
      <w:r w:rsidRPr="009F550C">
        <w:rPr>
          <w:rFonts w:ascii="Arial" w:eastAsia="Times New Roman" w:hAnsi="Arial" w:cs="Arial"/>
          <w:spacing w:val="6"/>
          <w:kern w:val="0"/>
          <w:sz w:val="24"/>
          <w:szCs w:val="24"/>
          <w:lang w:eastAsia="fr-FR"/>
          <w14:ligatures w14:val="none"/>
        </w:rPr>
        <w:t>Bien entendu, le bénéfice de cet avantage est subordonné au respect de plusieurs </w:t>
      </w:r>
      <w:r w:rsidRPr="009F550C">
        <w:rPr>
          <w:rFonts w:ascii="Arial" w:eastAsia="Times New Roman" w:hAnsi="Arial" w:cs="Arial"/>
          <w:b/>
          <w:bCs/>
          <w:spacing w:val="6"/>
          <w:kern w:val="0"/>
          <w:sz w:val="24"/>
          <w:szCs w:val="24"/>
          <w:lang w:eastAsia="fr-FR"/>
          <w14:ligatures w14:val="none"/>
        </w:rPr>
        <w:t>conditions</w:t>
      </w:r>
      <w:r w:rsidRPr="009F550C">
        <w:rPr>
          <w:rFonts w:ascii="Arial" w:eastAsia="Times New Roman" w:hAnsi="Arial" w:cs="Arial"/>
          <w:spacing w:val="6"/>
          <w:kern w:val="0"/>
          <w:sz w:val="24"/>
          <w:szCs w:val="24"/>
          <w:lang w:eastAsia="fr-FR"/>
          <w14:ligatures w14:val="none"/>
        </w:rPr>
        <w:t>, parmi lesquelles figure notamment pour la société dont les parts sont cédées, </w:t>
      </w:r>
      <w:r w:rsidRPr="009F550C">
        <w:rPr>
          <w:rFonts w:ascii="Arial" w:eastAsia="Times New Roman" w:hAnsi="Arial" w:cs="Arial"/>
          <w:b/>
          <w:bCs/>
          <w:spacing w:val="6"/>
          <w:kern w:val="0"/>
          <w:sz w:val="24"/>
          <w:szCs w:val="24"/>
          <w:lang w:eastAsia="fr-FR"/>
          <w14:ligatures w14:val="none"/>
        </w:rPr>
        <w:t>l'obligation d'exercer une activité opérationnelle</w:t>
      </w:r>
      <w:r w:rsidRPr="009F550C">
        <w:rPr>
          <w:rFonts w:ascii="Arial" w:eastAsia="Times New Roman" w:hAnsi="Arial" w:cs="Arial"/>
          <w:spacing w:val="6"/>
          <w:kern w:val="0"/>
          <w:sz w:val="24"/>
          <w:szCs w:val="24"/>
          <w:lang w:eastAsia="fr-FR"/>
          <w14:ligatures w14:val="none"/>
        </w:rPr>
        <w:t>, non seulement à la date de conclusion du pacte (date de la cession) mais également jusqu’au terme de l’engagement individuel de conservation.</w:t>
      </w:r>
    </w:p>
    <w:p w14:paraId="38F9A122" w14:textId="77777777" w:rsidR="009F550C" w:rsidRPr="009F550C" w:rsidRDefault="009F550C" w:rsidP="009F550C">
      <w:pPr>
        <w:spacing w:after="0" w:line="240" w:lineRule="auto"/>
        <w:rPr>
          <w:rFonts w:ascii="Arial" w:eastAsia="Times New Roman" w:hAnsi="Arial" w:cs="Arial"/>
          <w:spacing w:val="6"/>
          <w:kern w:val="0"/>
          <w:sz w:val="24"/>
          <w:szCs w:val="24"/>
          <w:lang w:eastAsia="fr-FR"/>
          <w14:ligatures w14:val="none"/>
        </w:rPr>
      </w:pPr>
      <w:r w:rsidRPr="009F550C">
        <w:rPr>
          <w:rFonts w:ascii="Arial" w:eastAsia="Times New Roman" w:hAnsi="Arial" w:cs="Arial"/>
          <w:spacing w:val="6"/>
          <w:kern w:val="0"/>
          <w:sz w:val="24"/>
          <w:szCs w:val="24"/>
          <w:lang w:eastAsia="fr-FR"/>
          <w14:ligatures w14:val="none"/>
        </w:rPr>
        <w:t>Cependant, cette condition n'étant pas fixée par la loi mais uniquement par l'Administration fiscale, la Cour de cassation a jugé, par une décision du 25 mai dernier (Cass. com. n° 19-25.513) que, faute d'une précision expresse contraire dans la loi, la condition d’exercice d’une activité éligible par la société cible devait s’apprécier </w:t>
      </w:r>
      <w:r w:rsidRPr="009F550C">
        <w:rPr>
          <w:rFonts w:ascii="Arial" w:eastAsia="Times New Roman" w:hAnsi="Arial" w:cs="Arial"/>
          <w:b/>
          <w:bCs/>
          <w:spacing w:val="6"/>
          <w:kern w:val="0"/>
          <w:sz w:val="24"/>
          <w:szCs w:val="24"/>
          <w:lang w:eastAsia="fr-FR"/>
          <w14:ligatures w14:val="none"/>
        </w:rPr>
        <w:t>à la seule date du fait générateur de l’imposition</w:t>
      </w:r>
      <w:r w:rsidRPr="009F550C">
        <w:rPr>
          <w:rFonts w:ascii="Arial" w:eastAsia="Times New Roman" w:hAnsi="Arial" w:cs="Arial"/>
          <w:spacing w:val="6"/>
          <w:kern w:val="0"/>
          <w:sz w:val="24"/>
          <w:szCs w:val="24"/>
          <w:lang w:eastAsia="fr-FR"/>
          <w14:ligatures w14:val="none"/>
        </w:rPr>
        <w:t>, et non pendant toute la durée des engagements de conservation.</w:t>
      </w:r>
    </w:p>
    <w:p w14:paraId="5BA76DC4" w14:textId="77777777" w:rsidR="009F550C" w:rsidRPr="009F550C" w:rsidRDefault="009F550C" w:rsidP="009F550C">
      <w:pPr>
        <w:spacing w:after="0" w:line="240" w:lineRule="auto"/>
        <w:rPr>
          <w:rFonts w:ascii="Arial" w:eastAsia="Times New Roman" w:hAnsi="Arial" w:cs="Arial"/>
          <w:spacing w:val="6"/>
          <w:kern w:val="0"/>
          <w:sz w:val="24"/>
          <w:szCs w:val="24"/>
          <w:lang w:eastAsia="fr-FR"/>
          <w14:ligatures w14:val="none"/>
        </w:rPr>
      </w:pPr>
      <w:r w:rsidRPr="009F550C">
        <w:rPr>
          <w:rFonts w:ascii="Arial" w:eastAsia="Times New Roman" w:hAnsi="Arial" w:cs="Arial"/>
          <w:spacing w:val="6"/>
          <w:kern w:val="0"/>
          <w:sz w:val="24"/>
          <w:szCs w:val="24"/>
          <w:lang w:eastAsia="fr-FR"/>
          <w14:ligatures w14:val="none"/>
        </w:rPr>
        <w:t>Or selon le législateur, cet arrêt remet en cause la raison d’être du dispositif « Dutreil », qui est d’assurer, dans le contexte d'une transmission, la </w:t>
      </w:r>
      <w:r w:rsidRPr="009F550C">
        <w:rPr>
          <w:rFonts w:ascii="Arial" w:eastAsia="Times New Roman" w:hAnsi="Arial" w:cs="Arial"/>
          <w:b/>
          <w:bCs/>
          <w:spacing w:val="6"/>
          <w:kern w:val="0"/>
          <w:sz w:val="24"/>
          <w:szCs w:val="24"/>
          <w:lang w:eastAsia="fr-FR"/>
          <w14:ligatures w14:val="none"/>
        </w:rPr>
        <w:t>pérennité</w:t>
      </w:r>
      <w:r w:rsidRPr="009F550C">
        <w:rPr>
          <w:rFonts w:ascii="Arial" w:eastAsia="Times New Roman" w:hAnsi="Arial" w:cs="Arial"/>
          <w:spacing w:val="6"/>
          <w:kern w:val="0"/>
          <w:sz w:val="24"/>
          <w:szCs w:val="24"/>
          <w:lang w:eastAsia="fr-FR"/>
          <w14:ligatures w14:val="none"/>
        </w:rPr>
        <w:t> des seules entreprises exerçant une activité économique opérationnelle. C’est en effet pour ce motif d’intérêt général que la loi accorde aux héritiers une réduction de </w:t>
      </w:r>
      <w:r w:rsidRPr="009F550C">
        <w:rPr>
          <w:rFonts w:ascii="Arial" w:eastAsia="Times New Roman" w:hAnsi="Arial" w:cs="Arial"/>
          <w:b/>
          <w:bCs/>
          <w:spacing w:val="6"/>
          <w:kern w:val="0"/>
          <w:sz w:val="24"/>
          <w:szCs w:val="24"/>
          <w:lang w:eastAsia="fr-FR"/>
          <w14:ligatures w14:val="none"/>
        </w:rPr>
        <w:t>75 %</w:t>
      </w:r>
      <w:r w:rsidRPr="009F550C">
        <w:rPr>
          <w:rFonts w:ascii="Arial" w:eastAsia="Times New Roman" w:hAnsi="Arial" w:cs="Arial"/>
          <w:spacing w:val="6"/>
          <w:kern w:val="0"/>
          <w:sz w:val="24"/>
          <w:szCs w:val="24"/>
          <w:lang w:eastAsia="fr-FR"/>
          <w14:ligatures w14:val="none"/>
        </w:rPr>
        <w:t> sur les droits de succession ou de donation applicables.</w:t>
      </w:r>
    </w:p>
    <w:p w14:paraId="412ADEEE" w14:textId="77777777" w:rsidR="009F550C" w:rsidRPr="009F550C" w:rsidRDefault="009F550C" w:rsidP="009F550C">
      <w:pPr>
        <w:spacing w:after="0" w:line="240" w:lineRule="auto"/>
        <w:rPr>
          <w:rFonts w:ascii="Arial" w:eastAsia="Times New Roman" w:hAnsi="Arial" w:cs="Arial"/>
          <w:spacing w:val="6"/>
          <w:kern w:val="0"/>
          <w:sz w:val="24"/>
          <w:szCs w:val="24"/>
          <w:lang w:eastAsia="fr-FR"/>
          <w14:ligatures w14:val="none"/>
        </w:rPr>
      </w:pPr>
      <w:r w:rsidRPr="009F550C">
        <w:rPr>
          <w:rFonts w:ascii="Arial" w:eastAsia="Times New Roman" w:hAnsi="Arial" w:cs="Arial"/>
          <w:spacing w:val="6"/>
          <w:kern w:val="0"/>
          <w:sz w:val="24"/>
          <w:szCs w:val="24"/>
          <w:lang w:eastAsia="fr-FR"/>
          <w14:ligatures w14:val="none"/>
        </w:rPr>
        <w:t>C'est la raison pour laquelle, un amendement au tout récent projet de loi de finances rectificative pour 2022, précise désormais expressément que la condition d’exercice par la société d’une activité industrielle, commerciale, artisanale, agricole ou libérale, doit être satisfaite à compter de la conclusion de l’engagement de conservation (conclusion du Pacte Dutreil) et </w:t>
      </w:r>
      <w:r w:rsidRPr="009F550C">
        <w:rPr>
          <w:rFonts w:ascii="Arial" w:eastAsia="Times New Roman" w:hAnsi="Arial" w:cs="Arial"/>
          <w:b/>
          <w:bCs/>
          <w:spacing w:val="6"/>
          <w:kern w:val="0"/>
          <w:sz w:val="24"/>
          <w:szCs w:val="24"/>
          <w:lang w:eastAsia="fr-FR"/>
          <w14:ligatures w14:val="none"/>
        </w:rPr>
        <w:t>jusqu’au terme de cet engagement</w:t>
      </w:r>
      <w:r w:rsidRPr="009F550C">
        <w:rPr>
          <w:rFonts w:ascii="Arial" w:eastAsia="Times New Roman" w:hAnsi="Arial" w:cs="Arial"/>
          <w:spacing w:val="6"/>
          <w:kern w:val="0"/>
          <w:sz w:val="24"/>
          <w:szCs w:val="24"/>
          <w:lang w:eastAsia="fr-FR"/>
          <w14:ligatures w14:val="none"/>
        </w:rPr>
        <w:t>.</w:t>
      </w:r>
    </w:p>
    <w:p w14:paraId="24B72B6D" w14:textId="77777777" w:rsidR="009F550C" w:rsidRPr="009F550C" w:rsidRDefault="009F550C" w:rsidP="009F550C">
      <w:pPr>
        <w:spacing w:after="0" w:line="240" w:lineRule="auto"/>
        <w:rPr>
          <w:rFonts w:ascii="Arial" w:eastAsia="Times New Roman" w:hAnsi="Arial" w:cs="Arial"/>
          <w:spacing w:val="6"/>
          <w:kern w:val="0"/>
          <w:sz w:val="24"/>
          <w:szCs w:val="24"/>
          <w:lang w:eastAsia="fr-FR"/>
          <w14:ligatures w14:val="none"/>
        </w:rPr>
      </w:pPr>
      <w:r w:rsidRPr="009F550C">
        <w:rPr>
          <w:rFonts w:ascii="Arial" w:eastAsia="Times New Roman" w:hAnsi="Arial" w:cs="Arial"/>
          <w:spacing w:val="6"/>
          <w:kern w:val="0"/>
          <w:sz w:val="24"/>
          <w:szCs w:val="24"/>
          <w:lang w:eastAsia="fr-FR"/>
          <w14:ligatures w14:val="none"/>
        </w:rPr>
        <w:t>Là encore, si elle est adoptée en l'état par le Sénat, cette nouvelle disposition s'appliquera aux transmissions intervenant à compter du </w:t>
      </w:r>
      <w:r w:rsidRPr="009F550C">
        <w:rPr>
          <w:rFonts w:ascii="Arial" w:eastAsia="Times New Roman" w:hAnsi="Arial" w:cs="Arial"/>
          <w:b/>
          <w:bCs/>
          <w:spacing w:val="6"/>
          <w:kern w:val="0"/>
          <w:sz w:val="24"/>
          <w:szCs w:val="24"/>
          <w:lang w:eastAsia="fr-FR"/>
          <w14:ligatures w14:val="none"/>
        </w:rPr>
        <w:t>18 juillet 2022,</w:t>
      </w:r>
      <w:r w:rsidRPr="009F550C">
        <w:rPr>
          <w:rFonts w:ascii="Arial" w:eastAsia="Times New Roman" w:hAnsi="Arial" w:cs="Arial"/>
          <w:spacing w:val="6"/>
          <w:kern w:val="0"/>
          <w:sz w:val="24"/>
          <w:szCs w:val="24"/>
          <w:lang w:eastAsia="fr-FR"/>
          <w14:ligatures w14:val="none"/>
        </w:rPr>
        <w:t> mais aussi à celles pour lesquelles les deux conditions suivantes sont </w:t>
      </w:r>
      <w:r w:rsidRPr="009F550C">
        <w:rPr>
          <w:rFonts w:ascii="Arial" w:eastAsia="Times New Roman" w:hAnsi="Arial" w:cs="Arial"/>
          <w:b/>
          <w:bCs/>
          <w:spacing w:val="6"/>
          <w:kern w:val="0"/>
          <w:sz w:val="24"/>
          <w:szCs w:val="24"/>
          <w:lang w:eastAsia="fr-FR"/>
          <w14:ligatures w14:val="none"/>
        </w:rPr>
        <w:t>cumulativement</w:t>
      </w:r>
      <w:r w:rsidRPr="009F550C">
        <w:rPr>
          <w:rFonts w:ascii="Arial" w:eastAsia="Times New Roman" w:hAnsi="Arial" w:cs="Arial"/>
          <w:spacing w:val="6"/>
          <w:kern w:val="0"/>
          <w:sz w:val="24"/>
          <w:szCs w:val="24"/>
          <w:lang w:eastAsia="fr-FR"/>
          <w14:ligatures w14:val="none"/>
        </w:rPr>
        <w:t> remplies :</w:t>
      </w:r>
    </w:p>
    <w:p w14:paraId="2209BBB5" w14:textId="77777777" w:rsidR="009F550C" w:rsidRPr="009F550C" w:rsidRDefault="009F550C" w:rsidP="009F550C">
      <w:pPr>
        <w:numPr>
          <w:ilvl w:val="0"/>
          <w:numId w:val="2"/>
        </w:numPr>
        <w:spacing w:after="0" w:line="240" w:lineRule="auto"/>
        <w:ind w:left="0"/>
        <w:rPr>
          <w:rFonts w:ascii="Arial" w:eastAsia="Times New Roman" w:hAnsi="Arial" w:cs="Arial"/>
          <w:spacing w:val="6"/>
          <w:kern w:val="0"/>
          <w:sz w:val="24"/>
          <w:szCs w:val="24"/>
          <w:lang w:eastAsia="fr-FR"/>
          <w14:ligatures w14:val="none"/>
        </w:rPr>
      </w:pPr>
      <w:proofErr w:type="gramStart"/>
      <w:r w:rsidRPr="009F550C">
        <w:rPr>
          <w:rFonts w:ascii="Arial" w:eastAsia="Times New Roman" w:hAnsi="Arial" w:cs="Arial"/>
          <w:spacing w:val="6"/>
          <w:kern w:val="0"/>
          <w:sz w:val="24"/>
          <w:szCs w:val="24"/>
          <w:lang w:eastAsia="fr-FR"/>
          <w14:ligatures w14:val="none"/>
        </w:rPr>
        <w:t>un</w:t>
      </w:r>
      <w:proofErr w:type="gramEnd"/>
      <w:r w:rsidRPr="009F550C">
        <w:rPr>
          <w:rFonts w:ascii="Arial" w:eastAsia="Times New Roman" w:hAnsi="Arial" w:cs="Arial"/>
          <w:spacing w:val="6"/>
          <w:kern w:val="0"/>
          <w:sz w:val="24"/>
          <w:szCs w:val="24"/>
          <w:lang w:eastAsia="fr-FR"/>
          <w14:ligatures w14:val="none"/>
        </w:rPr>
        <w:t xml:space="preserve"> engagement de conservation est déjà </w:t>
      </w:r>
      <w:r w:rsidRPr="009F550C">
        <w:rPr>
          <w:rFonts w:ascii="Arial" w:eastAsia="Times New Roman" w:hAnsi="Arial" w:cs="Arial"/>
          <w:b/>
          <w:bCs/>
          <w:spacing w:val="6"/>
          <w:kern w:val="0"/>
          <w:sz w:val="24"/>
          <w:szCs w:val="24"/>
          <w:lang w:eastAsia="fr-FR"/>
          <w14:ligatures w14:val="none"/>
        </w:rPr>
        <w:t>en cours ;</w:t>
      </w:r>
    </w:p>
    <w:p w14:paraId="6A72D0B0" w14:textId="7B2854C8" w:rsidR="009F550C" w:rsidRDefault="009F550C" w:rsidP="009F550C">
      <w:pPr>
        <w:numPr>
          <w:ilvl w:val="0"/>
          <w:numId w:val="2"/>
        </w:numPr>
        <w:spacing w:after="0" w:line="240" w:lineRule="auto"/>
        <w:ind w:left="0"/>
        <w:rPr>
          <w:rFonts w:ascii="Arial" w:eastAsia="Times New Roman" w:hAnsi="Arial" w:cs="Arial"/>
          <w:spacing w:val="6"/>
          <w:kern w:val="0"/>
          <w:sz w:val="24"/>
          <w:szCs w:val="24"/>
          <w:lang w:eastAsia="fr-FR"/>
          <w14:ligatures w14:val="none"/>
        </w:rPr>
      </w:pPr>
      <w:proofErr w:type="gramStart"/>
      <w:r w:rsidRPr="009F550C">
        <w:rPr>
          <w:rFonts w:ascii="Arial" w:eastAsia="Times New Roman" w:hAnsi="Arial" w:cs="Arial"/>
          <w:b/>
          <w:bCs/>
          <w:spacing w:val="6"/>
          <w:kern w:val="0"/>
          <w:sz w:val="24"/>
          <w:szCs w:val="24"/>
          <w:lang w:eastAsia="fr-FR"/>
          <w14:ligatures w14:val="none"/>
        </w:rPr>
        <w:t>et</w:t>
      </w:r>
      <w:proofErr w:type="gramEnd"/>
      <w:r w:rsidRPr="009F550C">
        <w:rPr>
          <w:rFonts w:ascii="Arial" w:eastAsia="Times New Roman" w:hAnsi="Arial" w:cs="Arial"/>
          <w:b/>
          <w:bCs/>
          <w:spacing w:val="6"/>
          <w:kern w:val="0"/>
          <w:sz w:val="24"/>
          <w:szCs w:val="24"/>
          <w:lang w:eastAsia="fr-FR"/>
          <w14:ligatures w14:val="none"/>
        </w:rPr>
        <w:t xml:space="preserve"> la société concernée n’a pas cessé d’exercer u</w:t>
      </w:r>
      <w:r w:rsidRPr="009F550C">
        <w:rPr>
          <w:rFonts w:ascii="Arial" w:eastAsia="Times New Roman" w:hAnsi="Arial" w:cs="Arial"/>
          <w:spacing w:val="6"/>
          <w:kern w:val="0"/>
          <w:sz w:val="24"/>
          <w:szCs w:val="24"/>
          <w:lang w:eastAsia="fr-FR"/>
          <w14:ligatures w14:val="none"/>
        </w:rPr>
        <w:t>ne activité industrielle, commerciale, artisanale, agricole ou libérale.</w:t>
      </w:r>
    </w:p>
    <w:p w14:paraId="554975E4" w14:textId="77777777" w:rsidR="009F550C" w:rsidRPr="009F550C" w:rsidRDefault="009F550C" w:rsidP="009F550C">
      <w:pPr>
        <w:numPr>
          <w:ilvl w:val="0"/>
          <w:numId w:val="2"/>
        </w:numPr>
        <w:spacing w:after="0" w:line="240" w:lineRule="auto"/>
        <w:ind w:left="0"/>
        <w:rPr>
          <w:rFonts w:ascii="Arial" w:eastAsia="Times New Roman" w:hAnsi="Arial" w:cs="Arial"/>
          <w:spacing w:val="6"/>
          <w:kern w:val="0"/>
          <w:sz w:val="24"/>
          <w:szCs w:val="24"/>
          <w:lang w:eastAsia="fr-FR"/>
          <w14:ligatures w14:val="none"/>
        </w:rPr>
      </w:pPr>
    </w:p>
    <w:p w14:paraId="51BCEA25" w14:textId="77777777" w:rsidR="009F550C" w:rsidRPr="009F550C" w:rsidRDefault="009F550C" w:rsidP="009F550C">
      <w:pPr>
        <w:spacing w:after="0" w:line="240" w:lineRule="auto"/>
        <w:rPr>
          <w:rFonts w:ascii="Arial" w:eastAsia="Times New Roman" w:hAnsi="Arial" w:cs="Arial"/>
          <w:i/>
          <w:iCs/>
          <w:spacing w:val="6"/>
          <w:kern w:val="0"/>
          <w:sz w:val="24"/>
          <w:szCs w:val="24"/>
          <w:lang w:eastAsia="fr-FR"/>
          <w14:ligatures w14:val="none"/>
        </w:rPr>
      </w:pPr>
      <w:r w:rsidRPr="009F550C">
        <w:rPr>
          <w:rFonts w:ascii="Arial" w:eastAsia="Times New Roman" w:hAnsi="Arial" w:cs="Arial"/>
          <w:i/>
          <w:iCs/>
          <w:spacing w:val="6"/>
          <w:kern w:val="0"/>
          <w:sz w:val="24"/>
          <w:szCs w:val="24"/>
          <w:lang w:eastAsia="fr-FR"/>
          <w14:ligatures w14:val="none"/>
        </w:rPr>
        <w:t>Source : projet de loi de finances rectificative pour 2022, version adoptée le 26 juillet 2022.</w:t>
      </w:r>
    </w:p>
    <w:p w14:paraId="66349CA5" w14:textId="77777777" w:rsidR="00105393" w:rsidRPr="009F550C" w:rsidRDefault="00105393" w:rsidP="009F550C">
      <w:pPr>
        <w:spacing w:after="0" w:line="240" w:lineRule="auto"/>
        <w:rPr>
          <w:rFonts w:ascii="Arial" w:hAnsi="Arial" w:cs="Arial"/>
          <w:sz w:val="24"/>
          <w:szCs w:val="24"/>
        </w:rPr>
      </w:pPr>
    </w:p>
    <w:sectPr w:rsidR="00105393" w:rsidRPr="009F55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32A0"/>
    <w:multiLevelType w:val="multilevel"/>
    <w:tmpl w:val="BEFA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C13356"/>
    <w:multiLevelType w:val="multilevel"/>
    <w:tmpl w:val="41CA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853713">
    <w:abstractNumId w:val="1"/>
  </w:num>
  <w:num w:numId="2" w16cid:durableId="541869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C"/>
    <w:rsid w:val="00105393"/>
    <w:rsid w:val="00160B38"/>
    <w:rsid w:val="008472E4"/>
    <w:rsid w:val="009F55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AC74F"/>
  <w15:chartTrackingRefBased/>
  <w15:docId w15:val="{2A218AB7-2B31-4899-8B5E-97C504B9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3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320267">
      <w:bodyDiv w:val="1"/>
      <w:marLeft w:val="0"/>
      <w:marRight w:val="0"/>
      <w:marTop w:val="0"/>
      <w:marBottom w:val="0"/>
      <w:divBdr>
        <w:top w:val="none" w:sz="0" w:space="0" w:color="auto"/>
        <w:left w:val="none" w:sz="0" w:space="0" w:color="auto"/>
        <w:bottom w:val="none" w:sz="0" w:space="0" w:color="auto"/>
        <w:right w:val="none" w:sz="0" w:space="0" w:color="auto"/>
      </w:divBdr>
      <w:divsChild>
        <w:div w:id="1548837329">
          <w:marLeft w:val="0"/>
          <w:marRight w:val="0"/>
          <w:marTop w:val="0"/>
          <w:marBottom w:val="450"/>
          <w:divBdr>
            <w:top w:val="none" w:sz="0" w:space="0" w:color="auto"/>
            <w:left w:val="none" w:sz="0" w:space="0" w:color="auto"/>
            <w:bottom w:val="none" w:sz="0" w:space="0" w:color="auto"/>
            <w:right w:val="none" w:sz="0" w:space="0" w:color="auto"/>
          </w:divBdr>
        </w:div>
        <w:div w:id="1191070088">
          <w:marLeft w:val="0"/>
          <w:marRight w:val="0"/>
          <w:marTop w:val="0"/>
          <w:marBottom w:val="225"/>
          <w:divBdr>
            <w:top w:val="none" w:sz="0" w:space="0" w:color="auto"/>
            <w:left w:val="single" w:sz="12" w:space="4" w:color="D2D7DC"/>
            <w:bottom w:val="none" w:sz="0" w:space="0" w:color="auto"/>
            <w:right w:val="none" w:sz="0" w:space="0" w:color="auto"/>
          </w:divBdr>
        </w:div>
        <w:div w:id="936863319">
          <w:marLeft w:val="0"/>
          <w:marRight w:val="0"/>
          <w:marTop w:val="0"/>
          <w:marBottom w:val="225"/>
          <w:divBdr>
            <w:top w:val="none" w:sz="0" w:space="0" w:color="auto"/>
            <w:left w:val="single" w:sz="12" w:space="4" w:color="D2D7D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895</Words>
  <Characters>4926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roudet</dc:creator>
  <cp:keywords/>
  <dc:description/>
  <cp:lastModifiedBy>alain roudet</cp:lastModifiedBy>
  <cp:revision>1</cp:revision>
  <dcterms:created xsi:type="dcterms:W3CDTF">2022-07-28T06:21:00Z</dcterms:created>
  <dcterms:modified xsi:type="dcterms:W3CDTF">2022-07-28T06:29:00Z</dcterms:modified>
</cp:coreProperties>
</file>