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03570" w14:textId="77777777" w:rsidR="00F6191A" w:rsidRPr="00F6191A" w:rsidRDefault="00F6191A" w:rsidP="00F6191A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spacing w:val="8"/>
          <w:kern w:val="36"/>
          <w:sz w:val="36"/>
          <w:szCs w:val="36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spacing w:val="8"/>
          <w:kern w:val="36"/>
          <w:sz w:val="36"/>
          <w:szCs w:val="36"/>
          <w:lang w:eastAsia="fr-FR"/>
        </w:rPr>
        <w:t>Dernière minute : la prime Macron portée à 2.000 € sans conditions pour toutes les entreprises de moins de 50 salariés</w:t>
      </w:r>
    </w:p>
    <w:p w14:paraId="5673D275" w14:textId="11543336" w:rsidR="00F6191A" w:rsidRPr="00F6191A" w:rsidRDefault="00F6191A" w:rsidP="00F6191A">
      <w:pPr>
        <w:numPr>
          <w:ilvl w:val="0"/>
          <w:numId w:val="1"/>
        </w:numPr>
        <w:spacing w:after="0" w:line="240" w:lineRule="auto"/>
        <w:ind w:right="450"/>
        <w:rPr>
          <w:rFonts w:ascii="Helvetica" w:eastAsia="Times New Roman" w:hAnsi="Helvetica" w:cs="Helvetica"/>
          <w:b/>
          <w:bCs/>
          <w:i/>
          <w:iCs/>
          <w:spacing w:val="8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i/>
          <w:iCs/>
          <w:spacing w:val="8"/>
          <w:sz w:val="24"/>
          <w:szCs w:val="24"/>
          <w:lang w:eastAsia="fr-FR"/>
        </w:rPr>
        <w:t> Article publié le 14 juil. 2021</w:t>
      </w:r>
    </w:p>
    <w:p w14:paraId="663D4C52" w14:textId="77777777" w:rsidR="00F6191A" w:rsidRPr="00F6191A" w:rsidRDefault="00F6191A" w:rsidP="00F6191A">
      <w:pPr>
        <w:spacing w:after="0" w:line="240" w:lineRule="auto"/>
        <w:ind w:left="720" w:right="450"/>
        <w:rPr>
          <w:rFonts w:ascii="Helvetica" w:eastAsia="Times New Roman" w:hAnsi="Helvetica" w:cs="Helvetica"/>
          <w:b/>
          <w:bCs/>
          <w:i/>
          <w:iCs/>
          <w:spacing w:val="8"/>
          <w:sz w:val="24"/>
          <w:szCs w:val="24"/>
          <w:lang w:eastAsia="fr-FR"/>
        </w:rPr>
      </w:pPr>
    </w:p>
    <w:p w14:paraId="345DB556" w14:textId="77777777" w:rsidR="00F6191A" w:rsidRPr="00F6191A" w:rsidRDefault="00F6191A" w:rsidP="00F6191A">
      <w:pPr>
        <w:spacing w:line="240" w:lineRule="auto"/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La prime Macron 2021 a été définitivement adoptée par le Parlement lundi 12 juillet. Surprise : son plafond d'exonération est doublé sans conditions dans les entreprises de moins de 50 salariés.</w:t>
      </w:r>
    </w:p>
    <w:p w14:paraId="0A026E20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S'agissant des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conditions générales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 à respecter pour la mise en œuvre de ce nouveau millésime 2021/2022, celles-ci sont quasi identiques à celles fixées pour la prime de l’année dernière et vous pouvez donc vous reporter à ce sujet à notre fiche pratique :</w:t>
      </w:r>
    </w:p>
    <w:p w14:paraId="1A4778DA" w14:textId="77777777" w:rsidR="00F6191A" w:rsidRPr="00F6191A" w:rsidRDefault="00F6191A" w:rsidP="00F61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hyperlink r:id="rId5" w:tgtFrame="_blank" w:history="1">
        <w:r w:rsidRPr="00F6191A">
          <w:rPr>
            <w:rFonts w:ascii="Helvetica" w:eastAsia="Times New Roman" w:hAnsi="Helvetica" w:cs="Helvetica"/>
            <w:spacing w:val="6"/>
            <w:sz w:val="24"/>
            <w:szCs w:val="24"/>
            <w:u w:val="single"/>
            <w:lang w:eastAsia="fr-FR"/>
          </w:rPr>
          <w:t>Prime Macron 2021 : ses conditions et ses modalités de versement</w:t>
        </w:r>
      </w:hyperlink>
    </w:p>
    <w:p w14:paraId="42F3F1A7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Par ailleurs, comme nous vous l'indiquions dans un précédent numéro, la loi adoptée confirme que, pour bénéficier de l’exonération, cette prime 2021 doit avoir été versée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entre le 1er juin 2021 et le 31 mars 2022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 (en une ou plusieurs fois le cas échéant).</w:t>
      </w:r>
    </w:p>
    <w:p w14:paraId="238A5ED3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Enfin, elle confirme également que le plafond d’exonération de cette prime, normalement limité à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1.000 €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, est porté à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2.000 €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 dans les entreprises qui ont conclu un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accord d'intéressement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, ou dans lesquelles un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accord de branche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 ou un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accord d’entreprise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 tend à valoriser les métiers des salariés qui, en raison de la nature de leurs tâches ont contribué directement à la continuité de l’activité économique et au maintien de la cohésion sociale pendant les périodes d'état d'urgence sanitaire (salariés dits </w:t>
      </w:r>
      <w:r w:rsidRPr="00F6191A">
        <w:rPr>
          <w:rFonts w:ascii="Helvetica" w:eastAsia="Times New Roman" w:hAnsi="Helvetica" w:cs="Helvetica"/>
          <w:i/>
          <w:iCs/>
          <w:spacing w:val="6"/>
          <w:sz w:val="24"/>
          <w:szCs w:val="24"/>
          <w:lang w:eastAsia="fr-FR"/>
        </w:rPr>
        <w:t>"de la deuxième ligne"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).</w:t>
      </w:r>
    </w:p>
    <w:p w14:paraId="0E647F40" w14:textId="77777777" w:rsidR="00F6191A" w:rsidRPr="00F6191A" w:rsidRDefault="00F6191A" w:rsidP="00F6191A">
      <w:pPr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36"/>
          <w:szCs w:val="36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caps/>
          <w:color w:val="435362"/>
          <w:spacing w:val="8"/>
          <w:sz w:val="36"/>
          <w:szCs w:val="36"/>
          <w:lang w:eastAsia="fr-FR"/>
        </w:rPr>
        <w:t>PRIME MACRON 2021 : 2.000 € DANS LES ENTREPRISES DE MOINS DE 50 SALARIÉS</w:t>
      </w:r>
    </w:p>
    <w:p w14:paraId="40726F60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Cependant, la grande nouveauté de ce millésime 2021/2022, c’est que les deux conditions ci-dessus, dont l'une au moins doit être remplie pour bénéficier du doublement du plafond de la prime (accord d’intéressement ou accord de valorisation des métiers),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ne sont pas applicables dans les entreprises de moins de 50 salariés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.</w:t>
      </w:r>
    </w:p>
    <w:p w14:paraId="01278767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En d’autres termes, le plafond d’exonération de la prime est fixé sans conditions à 2.000 € dans les entreprises de moins de 50 salariés.</w:t>
      </w:r>
    </w:p>
    <w:p w14:paraId="64821F81" w14:textId="77777777" w:rsidR="00F6191A" w:rsidRPr="00F6191A" w:rsidRDefault="00F6191A" w:rsidP="00F6191A">
      <w:pPr>
        <w:spacing w:after="168" w:line="240" w:lineRule="auto"/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Nous rappelons toutefois que cette nouvelle disposition n’entrera en vigueur </w:t>
      </w:r>
      <w:r w:rsidRPr="00F6191A">
        <w:rPr>
          <w:rFonts w:ascii="Helvetica" w:eastAsia="Times New Roman" w:hAnsi="Helvetica" w:cs="Helvetica"/>
          <w:b/>
          <w:bCs/>
          <w:spacing w:val="6"/>
          <w:sz w:val="24"/>
          <w:szCs w:val="24"/>
          <w:lang w:eastAsia="fr-FR"/>
        </w:rPr>
        <w:t>qu'après publication de la loi au Journal officiel</w:t>
      </w:r>
      <w:r w:rsidRPr="00F6191A">
        <w:rPr>
          <w:rFonts w:ascii="Helvetica" w:eastAsia="Times New Roman" w:hAnsi="Helvetica" w:cs="Helvetica"/>
          <w:spacing w:val="6"/>
          <w:sz w:val="24"/>
          <w:szCs w:val="24"/>
          <w:lang w:eastAsia="fr-FR"/>
        </w:rPr>
        <w:t>, laquelle n'interviendra qu'après examen d’une éventuelle saisine du Conseil constitutionnel (soit d'ici une quinzaine de jours au mieux).</w:t>
      </w:r>
    </w:p>
    <w:p w14:paraId="6EFF94B1" w14:textId="77777777" w:rsidR="00F6191A" w:rsidRPr="00F6191A" w:rsidRDefault="00F6191A" w:rsidP="00F6191A">
      <w:pPr>
        <w:spacing w:line="240" w:lineRule="auto"/>
        <w:rPr>
          <w:rFonts w:ascii="Helvetica" w:eastAsia="Times New Roman" w:hAnsi="Helvetica" w:cs="Helvetica"/>
          <w:i/>
          <w:iCs/>
          <w:spacing w:val="6"/>
          <w:sz w:val="24"/>
          <w:szCs w:val="24"/>
          <w:lang w:eastAsia="fr-FR"/>
        </w:rPr>
      </w:pPr>
      <w:r w:rsidRPr="00F6191A">
        <w:rPr>
          <w:rFonts w:ascii="Helvetica" w:eastAsia="Times New Roman" w:hAnsi="Helvetica" w:cs="Helvetica"/>
          <w:b/>
          <w:bCs/>
          <w:i/>
          <w:iCs/>
          <w:spacing w:val="6"/>
          <w:sz w:val="24"/>
          <w:szCs w:val="24"/>
          <w:lang w:eastAsia="fr-FR"/>
        </w:rPr>
        <w:t>Source</w:t>
      </w:r>
      <w:r w:rsidRPr="00F6191A">
        <w:rPr>
          <w:rFonts w:ascii="Helvetica" w:eastAsia="Times New Roman" w:hAnsi="Helvetica" w:cs="Helvetica"/>
          <w:i/>
          <w:iCs/>
          <w:spacing w:val="6"/>
          <w:sz w:val="24"/>
          <w:szCs w:val="24"/>
          <w:lang w:eastAsia="fr-FR"/>
        </w:rPr>
        <w:t> : projet de loi de finances rectificative pour 2021, article 2, § VII.</w:t>
      </w:r>
    </w:p>
    <w:p w14:paraId="40E34B75" w14:textId="77777777" w:rsidR="00105393" w:rsidRDefault="00105393"/>
    <w:sectPr w:rsidR="00105393" w:rsidSect="00F6191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1EEC"/>
    <w:multiLevelType w:val="multilevel"/>
    <w:tmpl w:val="D49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5209C"/>
    <w:multiLevelType w:val="multilevel"/>
    <w:tmpl w:val="89B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1A"/>
    <w:rsid w:val="00105393"/>
    <w:rsid w:val="00160B38"/>
    <w:rsid w:val="00F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14E3"/>
  <w15:chartTrackingRefBased/>
  <w15:docId w15:val="{005B41BB-CDDC-4A1B-906C-79CDD89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479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rantdesarl.com/fiches-pratiques/prime-de-1-000-2021-ses-conditions-et-ses-modalites-de-vers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2021-07-15T06:07:00Z</dcterms:created>
  <dcterms:modified xsi:type="dcterms:W3CDTF">2021-07-15T06:13:00Z</dcterms:modified>
</cp:coreProperties>
</file>