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0D6AB" w14:textId="4ED7A12A" w:rsidR="00476838" w:rsidRPr="00476838" w:rsidRDefault="00476838" w:rsidP="00476838">
      <w:pPr>
        <w:spacing w:after="0" w:line="240" w:lineRule="auto"/>
        <w:rPr>
          <w:rFonts w:ascii="&amp;quot" w:eastAsia="Times New Roman" w:hAnsi="&amp;quot" w:cs="Times New Roman"/>
          <w:color w:val="407CA8"/>
          <w:sz w:val="25"/>
          <w:szCs w:val="25"/>
          <w:lang w:eastAsia="fr-FR"/>
        </w:rPr>
      </w:pPr>
    </w:p>
    <w:p w14:paraId="79E55546" w14:textId="519DC4FD" w:rsidR="00476838" w:rsidRPr="00476838" w:rsidRDefault="00476838" w:rsidP="00476838">
      <w:pPr>
        <w:spacing w:after="0" w:line="240" w:lineRule="auto"/>
        <w:rPr>
          <w:rFonts w:ascii="&amp;quot" w:eastAsia="Times New Roman" w:hAnsi="&amp;quot" w:cs="Times New Roman"/>
          <w:color w:val="407CA8"/>
          <w:sz w:val="25"/>
          <w:szCs w:val="25"/>
          <w:lang w:eastAsia="fr-FR"/>
        </w:rPr>
      </w:pPr>
    </w:p>
    <w:p w14:paraId="6E05532A" w14:textId="2612C7E9" w:rsidR="00476838" w:rsidRDefault="00476838" w:rsidP="00476838">
      <w:pPr>
        <w:spacing w:after="0" w:line="240" w:lineRule="auto"/>
        <w:rPr>
          <w:rFonts w:ascii="&amp;quot" w:eastAsia="Times New Roman" w:hAnsi="&amp;quot" w:cs="Times New Roman"/>
          <w:color w:val="407CA8"/>
          <w:sz w:val="36"/>
          <w:szCs w:val="36"/>
          <w:lang w:eastAsia="fr-FR"/>
        </w:rPr>
      </w:pPr>
      <w:r w:rsidRPr="00476838">
        <w:rPr>
          <w:rFonts w:ascii="&amp;quot" w:eastAsia="Times New Roman" w:hAnsi="&amp;quot" w:cs="Times New Roman"/>
          <w:color w:val="407CA8"/>
          <w:sz w:val="36"/>
          <w:szCs w:val="36"/>
          <w:lang w:eastAsia="fr-FR"/>
        </w:rPr>
        <w:t xml:space="preserve">Plan de soutien au secteur du tourisme </w:t>
      </w:r>
    </w:p>
    <w:p w14:paraId="398BE97F" w14:textId="77777777" w:rsidR="00476838" w:rsidRPr="00476838" w:rsidRDefault="00476838" w:rsidP="00476838">
      <w:pPr>
        <w:spacing w:after="0" w:line="240" w:lineRule="auto"/>
        <w:rPr>
          <w:rFonts w:ascii="&amp;quot" w:eastAsia="Times New Roman" w:hAnsi="&amp;quot" w:cs="Times New Roman"/>
          <w:color w:val="407CA8"/>
          <w:sz w:val="36"/>
          <w:szCs w:val="36"/>
          <w:lang w:eastAsia="fr-FR"/>
        </w:rPr>
      </w:pPr>
    </w:p>
    <w:p w14:paraId="0BB7EA9E"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Le 14 mai 2020, le Premier ministre a annoncé le lancement d’un plan de soutien interministériel d’une ampleur exceptionnelle à destination du secteur touristique. Élaboré par le Comité interministériel du tourisme, instance qui réunit tous les acteurs du tourisme en France (élus locaux, organisations syndicales, entreprises, opérateurs et membres du Gouvernement), ce plan doit permettre de répondre à la crise sanitaire qui a très fortement touché le secteur touristique.</w:t>
      </w:r>
    </w:p>
    <w:p w14:paraId="29B06965" w14:textId="77777777" w:rsidR="00476838" w:rsidRPr="00476838" w:rsidRDefault="00476838" w:rsidP="00476838">
      <w:pPr>
        <w:spacing w:before="100" w:beforeAutospacing="1" w:after="100" w:afterAutospacing="1" w:line="240" w:lineRule="auto"/>
        <w:outlineLvl w:val="1"/>
        <w:rPr>
          <w:rFonts w:ascii="Arial" w:eastAsia="Times New Roman" w:hAnsi="Arial" w:cs="Arial"/>
          <w:color w:val="407CA8"/>
          <w:sz w:val="36"/>
          <w:szCs w:val="36"/>
          <w:lang w:eastAsia="fr-FR"/>
        </w:rPr>
      </w:pPr>
      <w:r w:rsidRPr="00476838">
        <w:rPr>
          <w:rFonts w:ascii="Arial" w:eastAsia="Times New Roman" w:hAnsi="Arial" w:cs="Arial"/>
          <w:color w:val="407CA8"/>
          <w:sz w:val="36"/>
          <w:szCs w:val="36"/>
          <w:lang w:eastAsia="fr-FR"/>
        </w:rPr>
        <w:t>Les mesures de soutien aux entreprises du tourisme et de l’événementiel sportif et culturel</w:t>
      </w:r>
    </w:p>
    <w:p w14:paraId="6FC811CB"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Maintien de l'activité partielle</w:t>
      </w:r>
    </w:p>
    <w:p w14:paraId="695F8B3C"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Les entreprises du tourisme </w:t>
      </w:r>
      <w:r w:rsidRPr="00476838">
        <w:rPr>
          <w:rFonts w:ascii="Arial" w:eastAsia="Times New Roman" w:hAnsi="Arial" w:cs="Arial"/>
          <w:b/>
          <w:bCs/>
          <w:color w:val="212529"/>
          <w:sz w:val="25"/>
          <w:szCs w:val="25"/>
          <w:lang w:eastAsia="fr-FR"/>
        </w:rPr>
        <w:t>pourront continuer de recourir à l’</w:t>
      </w:r>
      <w:hyperlink r:id="rId5" w:history="1">
        <w:r w:rsidRPr="00476838">
          <w:rPr>
            <w:rFonts w:ascii="Arial" w:eastAsia="Times New Roman" w:hAnsi="Arial" w:cs="Arial"/>
            <w:b/>
            <w:bCs/>
            <w:color w:val="126F7F"/>
            <w:sz w:val="25"/>
            <w:szCs w:val="25"/>
            <w:u w:val="single"/>
            <w:lang w:eastAsia="fr-FR"/>
          </w:rPr>
          <w:t>activité partielle</w:t>
        </w:r>
      </w:hyperlink>
      <w:r w:rsidRPr="00476838">
        <w:rPr>
          <w:rFonts w:ascii="&amp;quot" w:eastAsia="Times New Roman" w:hAnsi="&amp;quot" w:cs="Times New Roman"/>
          <w:color w:val="212529"/>
          <w:sz w:val="25"/>
          <w:szCs w:val="25"/>
          <w:lang w:eastAsia="fr-FR"/>
        </w:rPr>
        <w:t xml:space="preserve"> dans les mêmes conditions que celles mises en place pendant le confinement, et cela jusqu’à la fin de l’année 2020. Au-delà, l’activité partielle leur restera ouverte dans des conditions qui seront revues le cas échéant.</w:t>
      </w:r>
    </w:p>
    <w:p w14:paraId="116D6B9E"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Prolongation du fonds de solidarité au-delà du mois de mai</w:t>
      </w:r>
    </w:p>
    <w:p w14:paraId="2DC658AD"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 </w:t>
      </w:r>
      <w:hyperlink r:id="rId6" w:history="1">
        <w:r w:rsidRPr="00476838">
          <w:rPr>
            <w:rFonts w:ascii="Arial" w:eastAsia="Times New Roman" w:hAnsi="Arial" w:cs="Arial"/>
            <w:b/>
            <w:bCs/>
            <w:color w:val="126F7F"/>
            <w:sz w:val="25"/>
            <w:szCs w:val="25"/>
            <w:u w:val="single"/>
            <w:lang w:eastAsia="fr-FR"/>
          </w:rPr>
          <w:t>fonds de solidarité</w:t>
        </w:r>
      </w:hyperlink>
      <w:r w:rsidRPr="00476838">
        <w:rPr>
          <w:rFonts w:ascii="Arial" w:eastAsia="Times New Roman" w:hAnsi="Arial" w:cs="Arial"/>
          <w:b/>
          <w:bCs/>
          <w:color w:val="212529"/>
          <w:sz w:val="25"/>
          <w:szCs w:val="25"/>
          <w:lang w:eastAsia="fr-FR"/>
        </w:rPr>
        <w:t xml:space="preserve"> restera ouvert pour les entreprises du secteur du tourisme, de l'événementiel, du sport et de la culture jusqu’à la fin de l’année 2020</w:t>
      </w:r>
      <w:r w:rsidRPr="00476838">
        <w:rPr>
          <w:rFonts w:ascii="&amp;quot" w:eastAsia="Times New Roman" w:hAnsi="&amp;quot" w:cs="Times New Roman"/>
          <w:color w:val="212529"/>
          <w:sz w:val="25"/>
          <w:szCs w:val="25"/>
          <w:lang w:eastAsia="fr-FR"/>
        </w:rPr>
        <w:t xml:space="preserve">. Son accès sera élargi à des entreprises de plus grande taille, celles qui ont jusqu’à 20 salariés et jusqu’à 2 millions d’euros de chiffre d’affaires. L’aide à laquelle il pourra donner droit sera augmentée jusqu’à </w:t>
      </w:r>
      <w:r w:rsidRPr="00476838">
        <w:rPr>
          <w:rFonts w:ascii="Arial" w:eastAsia="Times New Roman" w:hAnsi="Arial" w:cs="Arial"/>
          <w:b/>
          <w:bCs/>
          <w:color w:val="212529"/>
          <w:sz w:val="25"/>
          <w:szCs w:val="25"/>
          <w:lang w:eastAsia="fr-FR"/>
        </w:rPr>
        <w:t>10 000 €.</w:t>
      </w:r>
    </w:p>
    <w:p w14:paraId="2D44BB3E"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Exonération de cotisations sociales pour les TPE et PME</w:t>
      </w:r>
    </w:p>
    <w:p w14:paraId="40CFFD8F"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Une </w:t>
      </w:r>
      <w:r w:rsidRPr="00476838">
        <w:rPr>
          <w:rFonts w:ascii="Arial" w:eastAsia="Times New Roman" w:hAnsi="Arial" w:cs="Arial"/>
          <w:b/>
          <w:bCs/>
          <w:color w:val="212529"/>
          <w:sz w:val="25"/>
          <w:szCs w:val="25"/>
          <w:lang w:eastAsia="fr-FR"/>
        </w:rPr>
        <w:t>exonération de cotisations sociales s’appliquera aux très petites entreprises (TPE) et aux petites et moyennes entreprises (PME)</w:t>
      </w:r>
      <w:r w:rsidRPr="00476838">
        <w:rPr>
          <w:rFonts w:ascii="&amp;quot" w:eastAsia="Times New Roman" w:hAnsi="&amp;quot" w:cs="Times New Roman"/>
          <w:color w:val="212529"/>
          <w:sz w:val="25"/>
          <w:szCs w:val="25"/>
          <w:lang w:eastAsia="fr-FR"/>
        </w:rPr>
        <w:t xml:space="preserve"> du secteur tourisme, de l'événementiel culturel et sportif, pendant la période de fermeture ou de très faible activité, au moins de mars à juin, pour un montant estimé à 2,2 milliards d'euros. L'exonération s’appliquera automatiquement à toutes ces entreprises, qu’elles aient déjà acquitté ou non leurs cotisations.</w:t>
      </w:r>
    </w:p>
    <w:p w14:paraId="063F2E18"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Aux exonérations de cotisations patronales s’ajoutera un </w:t>
      </w:r>
      <w:r w:rsidRPr="00476838">
        <w:rPr>
          <w:rFonts w:ascii="Arial" w:eastAsia="Times New Roman" w:hAnsi="Arial" w:cs="Arial"/>
          <w:b/>
          <w:bCs/>
          <w:color w:val="212529"/>
          <w:sz w:val="25"/>
          <w:szCs w:val="25"/>
          <w:lang w:eastAsia="fr-FR"/>
        </w:rPr>
        <w:t>crédit de cotisation égal à 20 % des salaires versés depuis février</w:t>
      </w:r>
      <w:r w:rsidRPr="00476838">
        <w:rPr>
          <w:rFonts w:ascii="&amp;quot" w:eastAsia="Times New Roman" w:hAnsi="&amp;quot" w:cs="Times New Roman"/>
          <w:color w:val="212529"/>
          <w:sz w:val="25"/>
          <w:szCs w:val="25"/>
          <w:lang w:eastAsia="fr-FR"/>
        </w:rPr>
        <w:t>. Ce crédit de cotisation sera imputable sur l’ensemble des cotisations dues par l’entreprise et permettra de soutenir la reprise de l’activité. Les exonérations de cotisations patronales pourront être prolongées tant que durera la fermeture obligatoire des établissements.</w:t>
      </w:r>
    </w:p>
    <w:p w14:paraId="40D80BB6"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 xml:space="preserve">Mise en place d'un prêt garanti par l'État « </w:t>
      </w:r>
      <w:proofErr w:type="gramStart"/>
      <w:r w:rsidRPr="00476838">
        <w:rPr>
          <w:rFonts w:ascii="&amp;quot" w:eastAsia="Times New Roman" w:hAnsi="&amp;quot" w:cs="Times New Roman"/>
          <w:b/>
          <w:bCs/>
          <w:color w:val="407CA8"/>
          <w:sz w:val="27"/>
          <w:szCs w:val="27"/>
          <w:lang w:eastAsia="fr-FR"/>
        </w:rPr>
        <w:t>saison»</w:t>
      </w:r>
      <w:proofErr w:type="gramEnd"/>
    </w:p>
    <w:p w14:paraId="3B46196A"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lastRenderedPageBreak/>
        <w:t xml:space="preserve">Un </w:t>
      </w:r>
      <w:hyperlink r:id="rId7" w:history="1">
        <w:r w:rsidRPr="00476838">
          <w:rPr>
            <w:rFonts w:ascii="Arial" w:eastAsia="Times New Roman" w:hAnsi="Arial" w:cs="Arial"/>
            <w:b/>
            <w:bCs/>
            <w:color w:val="126F7F"/>
            <w:sz w:val="25"/>
            <w:szCs w:val="25"/>
            <w:u w:val="single"/>
            <w:lang w:eastAsia="fr-FR"/>
          </w:rPr>
          <w:t>prêt garanti par l’État (PGE)</w:t>
        </w:r>
      </w:hyperlink>
      <w:r w:rsidRPr="00476838">
        <w:rPr>
          <w:rFonts w:ascii="Arial" w:eastAsia="Times New Roman" w:hAnsi="Arial" w:cs="Arial"/>
          <w:b/>
          <w:bCs/>
          <w:color w:val="212529"/>
          <w:sz w:val="25"/>
          <w:szCs w:val="25"/>
          <w:lang w:eastAsia="fr-FR"/>
        </w:rPr>
        <w:t xml:space="preserve"> « saison » sera mis en place</w:t>
      </w:r>
      <w:r w:rsidRPr="00476838">
        <w:rPr>
          <w:rFonts w:ascii="&amp;quot" w:eastAsia="Times New Roman" w:hAnsi="&amp;quot" w:cs="Times New Roman"/>
          <w:color w:val="212529"/>
          <w:sz w:val="25"/>
          <w:szCs w:val="25"/>
          <w:lang w:eastAsia="fr-FR"/>
        </w:rPr>
        <w:t xml:space="preserve"> : ses conditions seront plus favorables que le PGE classique avec un plafond plus élevé (actuellement le prêt est plafonné à 25 % du chiffre d’affaire 2019, le plafond du « PGE saison » sera porté au 3 meilleurs mois de l’année 2019 — ce qui pour des entreprises saisonnières fait une grande différence.</w:t>
      </w:r>
    </w:p>
    <w:p w14:paraId="0B49B840"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Annulation des loyers et redevances d'occupation du domaine public</w:t>
      </w:r>
    </w:p>
    <w:p w14:paraId="262E2054"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Les </w:t>
      </w:r>
      <w:r w:rsidRPr="00476838">
        <w:rPr>
          <w:rFonts w:ascii="Arial" w:eastAsia="Times New Roman" w:hAnsi="Arial" w:cs="Arial"/>
          <w:b/>
          <w:bCs/>
          <w:color w:val="212529"/>
          <w:sz w:val="25"/>
          <w:szCs w:val="25"/>
          <w:lang w:eastAsia="fr-FR"/>
        </w:rPr>
        <w:t>loyers et redevances d’occupation du domaine public</w:t>
      </w:r>
      <w:r w:rsidRPr="00476838">
        <w:rPr>
          <w:rFonts w:ascii="&amp;quot" w:eastAsia="Times New Roman" w:hAnsi="&amp;quot" w:cs="Times New Roman"/>
          <w:color w:val="212529"/>
          <w:sz w:val="25"/>
          <w:szCs w:val="25"/>
          <w:lang w:eastAsia="fr-FR"/>
        </w:rPr>
        <w:t xml:space="preserve"> dus aux bailleurs nationaux (État et opérateurs) </w:t>
      </w:r>
      <w:r w:rsidRPr="00476838">
        <w:rPr>
          <w:rFonts w:ascii="Arial" w:eastAsia="Times New Roman" w:hAnsi="Arial" w:cs="Arial"/>
          <w:b/>
          <w:bCs/>
          <w:color w:val="212529"/>
          <w:sz w:val="25"/>
          <w:szCs w:val="25"/>
          <w:lang w:eastAsia="fr-FR"/>
        </w:rPr>
        <w:t>seront annulés</w:t>
      </w:r>
      <w:r w:rsidRPr="00476838">
        <w:rPr>
          <w:rFonts w:ascii="&amp;quot" w:eastAsia="Times New Roman" w:hAnsi="&amp;quot" w:cs="Times New Roman"/>
          <w:color w:val="212529"/>
          <w:sz w:val="25"/>
          <w:szCs w:val="25"/>
          <w:lang w:eastAsia="fr-FR"/>
        </w:rPr>
        <w:t xml:space="preserve"> pour les TPE et PME du secteur du tourisme et de l’événementiel sportif pour la période de fermeture administrative.</w:t>
      </w:r>
    </w:p>
    <w:p w14:paraId="529B0F61"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Allègement possible de la taxe de séjour et de la CFE par les collectivités locales</w:t>
      </w:r>
    </w:p>
    <w:p w14:paraId="21A9E66A"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Les collectivités locales qui le souhaiteront pourront </w:t>
      </w:r>
      <w:r w:rsidRPr="00476838">
        <w:rPr>
          <w:rFonts w:ascii="Arial" w:eastAsia="Times New Roman" w:hAnsi="Arial" w:cs="Arial"/>
          <w:b/>
          <w:bCs/>
          <w:color w:val="212529"/>
          <w:sz w:val="25"/>
          <w:szCs w:val="25"/>
          <w:lang w:eastAsia="fr-FR"/>
        </w:rPr>
        <w:t>alléger la taxe de séjour des hébergements touristiques</w:t>
      </w:r>
      <w:r w:rsidRPr="00476838">
        <w:rPr>
          <w:rFonts w:ascii="&amp;quot" w:eastAsia="Times New Roman" w:hAnsi="&amp;quot" w:cs="Times New Roman"/>
          <w:color w:val="212529"/>
          <w:sz w:val="25"/>
          <w:szCs w:val="25"/>
          <w:lang w:eastAsia="fr-FR"/>
        </w:rPr>
        <w:t xml:space="preserve">. Elles pourront également décider de réduire des deux tiers </w:t>
      </w:r>
      <w:r w:rsidRPr="00476838">
        <w:rPr>
          <w:rFonts w:ascii="Arial" w:eastAsia="Times New Roman" w:hAnsi="Arial" w:cs="Arial"/>
          <w:b/>
          <w:bCs/>
          <w:color w:val="212529"/>
          <w:sz w:val="25"/>
          <w:szCs w:val="25"/>
          <w:lang w:eastAsia="fr-FR"/>
        </w:rPr>
        <w:t>la cotisation foncière des entreprises (CFE)</w:t>
      </w:r>
      <w:r w:rsidRPr="00476838">
        <w:rPr>
          <w:rFonts w:ascii="&amp;quot" w:eastAsia="Times New Roman" w:hAnsi="&amp;quot" w:cs="Times New Roman"/>
          <w:color w:val="212529"/>
          <w:sz w:val="25"/>
          <w:szCs w:val="25"/>
          <w:lang w:eastAsia="fr-FR"/>
        </w:rPr>
        <w:t xml:space="preserve"> du tourisme. L’État en financera la moitié.</w:t>
      </w:r>
    </w:p>
    <w:p w14:paraId="0DF932BF"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Création d'un guichet unique</w:t>
      </w:r>
    </w:p>
    <w:p w14:paraId="2C1C92BE"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Un guichet unique numérique est mis en place afin de simplifier et accélérer l’accès des entreprises des secteurs </w:t>
      </w:r>
      <w:proofErr w:type="gramStart"/>
      <w:r w:rsidRPr="00476838">
        <w:rPr>
          <w:rFonts w:ascii="&amp;quot" w:eastAsia="Times New Roman" w:hAnsi="&amp;quot" w:cs="Times New Roman"/>
          <w:color w:val="212529"/>
          <w:sz w:val="25"/>
          <w:szCs w:val="25"/>
          <w:lang w:eastAsia="fr-FR"/>
        </w:rPr>
        <w:t>cafés</w:t>
      </w:r>
      <w:proofErr w:type="gramEnd"/>
      <w:r w:rsidRPr="00476838">
        <w:rPr>
          <w:rFonts w:ascii="&amp;quot" w:eastAsia="Times New Roman" w:hAnsi="&amp;quot" w:cs="Times New Roman"/>
          <w:color w:val="212529"/>
          <w:sz w:val="25"/>
          <w:szCs w:val="25"/>
          <w:lang w:eastAsia="fr-FR"/>
        </w:rPr>
        <w:t>, hôtels, restaurants, tourisme, événementiel, culture et sport aux dispositifs. </w:t>
      </w:r>
    </w:p>
    <w:p w14:paraId="5F365631"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rial" w:eastAsia="Times New Roman" w:hAnsi="Arial" w:cs="Arial"/>
          <w:b/>
          <w:bCs/>
          <w:color w:val="212529"/>
          <w:sz w:val="25"/>
          <w:szCs w:val="25"/>
          <w:lang w:eastAsia="fr-FR"/>
        </w:rPr>
        <w:t xml:space="preserve">Ce guichet est accessible sur </w:t>
      </w:r>
      <w:hyperlink r:id="rId8" w:tgtFrame="_blank" w:tooltip="« plan-tourisme.fr » dans une nouvelle fenêtre" w:history="1">
        <w:r w:rsidRPr="00476838">
          <w:rPr>
            <w:rFonts w:ascii="Arial" w:eastAsia="Times New Roman" w:hAnsi="Arial" w:cs="Arial"/>
            <w:b/>
            <w:bCs/>
            <w:color w:val="126F7F"/>
            <w:sz w:val="25"/>
            <w:szCs w:val="25"/>
            <w:u w:val="single"/>
            <w:lang w:eastAsia="fr-FR"/>
          </w:rPr>
          <w:t>www.plan-tourisme.fr</w:t>
        </w:r>
      </w:hyperlink>
    </w:p>
    <w:p w14:paraId="42958778"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Les entreprises y trouveront les mesures de la </w:t>
      </w:r>
      <w:hyperlink r:id="rId9" w:tgtFrame="_blank" w:tooltip="« banquedesterritoires.fr » dans une nouvelle fenêtre" w:history="1">
        <w:r w:rsidRPr="00476838">
          <w:rPr>
            <w:rFonts w:ascii="&amp;quot" w:eastAsia="Times New Roman" w:hAnsi="&amp;quot" w:cs="Times New Roman"/>
            <w:color w:val="126F7F"/>
            <w:sz w:val="25"/>
            <w:szCs w:val="25"/>
            <w:u w:val="single"/>
            <w:lang w:eastAsia="fr-FR"/>
          </w:rPr>
          <w:t>Banque des Territoires</w:t>
        </w:r>
      </w:hyperlink>
      <w:r w:rsidRPr="00476838">
        <w:rPr>
          <w:rFonts w:ascii="&amp;quot" w:eastAsia="Times New Roman" w:hAnsi="&amp;quot" w:cs="Times New Roman"/>
          <w:color w:val="212529"/>
          <w:sz w:val="25"/>
          <w:szCs w:val="25"/>
          <w:lang w:eastAsia="fr-FR"/>
        </w:rPr>
        <w:t xml:space="preserve"> et de </w:t>
      </w:r>
      <w:hyperlink r:id="rId10" w:tgtFrame="_blank" w:tooltip="« bpifrance.fr/ » dans une nouvelle fenêtre" w:history="1">
        <w:r w:rsidRPr="00476838">
          <w:rPr>
            <w:rFonts w:ascii="&amp;quot" w:eastAsia="Times New Roman" w:hAnsi="&amp;quot" w:cs="Times New Roman"/>
            <w:color w:val="126F7F"/>
            <w:sz w:val="25"/>
            <w:szCs w:val="25"/>
            <w:u w:val="single"/>
            <w:lang w:eastAsia="fr-FR"/>
          </w:rPr>
          <w:t>Bpifrance</w:t>
        </w:r>
      </w:hyperlink>
      <w:r w:rsidRPr="00476838">
        <w:rPr>
          <w:rFonts w:ascii="&amp;quot" w:eastAsia="Times New Roman" w:hAnsi="&amp;quot" w:cs="Times New Roman"/>
          <w:color w:val="212529"/>
          <w:sz w:val="25"/>
          <w:szCs w:val="25"/>
          <w:lang w:eastAsia="fr-FR"/>
        </w:rPr>
        <w:t>. Ce guichet numérique présente les différents dispositifs et oriente vers les plateformes et contacts permettant d’effectuer les démarches nécessaires.</w:t>
      </w:r>
    </w:p>
    <w:p w14:paraId="7D7ACF1F"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Report des échéances de crédit</w:t>
      </w:r>
    </w:p>
    <w:p w14:paraId="6B68D1DE"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Les banques pourront accorder un report des échéances de crédit allant </w:t>
      </w:r>
      <w:r w:rsidRPr="00476838">
        <w:rPr>
          <w:rFonts w:ascii="Arial" w:eastAsia="Times New Roman" w:hAnsi="Arial" w:cs="Arial"/>
          <w:b/>
          <w:bCs/>
          <w:color w:val="212529"/>
          <w:sz w:val="25"/>
          <w:szCs w:val="25"/>
          <w:lang w:eastAsia="fr-FR"/>
        </w:rPr>
        <w:t xml:space="preserve">jusqu’à 12 mois </w:t>
      </w:r>
      <w:r w:rsidRPr="00476838">
        <w:rPr>
          <w:rFonts w:ascii="&amp;quot" w:eastAsia="Times New Roman" w:hAnsi="&amp;quot" w:cs="Times New Roman"/>
          <w:color w:val="212529"/>
          <w:sz w:val="25"/>
          <w:szCs w:val="25"/>
          <w:lang w:eastAsia="fr-FR"/>
        </w:rPr>
        <w:t>(au lieu de 6 mois actuellement) aux petites et moyennes entreprises du secteur.</w:t>
      </w:r>
    </w:p>
    <w:p w14:paraId="2F482A5C"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Augmentation du plafond journalier des tickets restaurants</w:t>
      </w:r>
    </w:p>
    <w:p w14:paraId="7E8DD6DF"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 plafond journalier des tickets restaurants </w:t>
      </w:r>
      <w:r w:rsidRPr="00476838">
        <w:rPr>
          <w:rFonts w:ascii="Arial" w:eastAsia="Times New Roman" w:hAnsi="Arial" w:cs="Arial"/>
          <w:b/>
          <w:bCs/>
          <w:color w:val="212529"/>
          <w:sz w:val="25"/>
          <w:szCs w:val="25"/>
          <w:lang w:eastAsia="fr-FR"/>
        </w:rPr>
        <w:t>sera augmenté de 19 à 38 €</w:t>
      </w:r>
      <w:r w:rsidRPr="00476838">
        <w:rPr>
          <w:rFonts w:ascii="&amp;quot" w:eastAsia="Times New Roman" w:hAnsi="&amp;quot" w:cs="Times New Roman"/>
          <w:color w:val="212529"/>
          <w:sz w:val="25"/>
          <w:szCs w:val="25"/>
          <w:lang w:eastAsia="fr-FR"/>
        </w:rPr>
        <w:t xml:space="preserve"> et leur utilisation sera autorisée les week-ends et jours fériés, à partir de leur date de réouverture et jusqu’à la fin de l’année 2020 et uniquement dans les restaurants.</w:t>
      </w:r>
    </w:p>
    <w:p w14:paraId="227925D8" w14:textId="77777777" w:rsidR="00476838" w:rsidRPr="00476838" w:rsidRDefault="00476838" w:rsidP="00476838">
      <w:pPr>
        <w:spacing w:after="100" w:afterAutospacing="1" w:line="240" w:lineRule="auto"/>
        <w:outlineLvl w:val="2"/>
        <w:rPr>
          <w:rFonts w:ascii="&amp;quot" w:eastAsia="Times New Roman" w:hAnsi="&amp;quot" w:cs="Times New Roman"/>
          <w:b/>
          <w:bCs/>
          <w:color w:val="407CA8"/>
          <w:sz w:val="27"/>
          <w:szCs w:val="27"/>
          <w:lang w:eastAsia="fr-FR"/>
        </w:rPr>
      </w:pPr>
      <w:r w:rsidRPr="00476838">
        <w:rPr>
          <w:rFonts w:ascii="&amp;quot" w:eastAsia="Times New Roman" w:hAnsi="&amp;quot" w:cs="Times New Roman"/>
          <w:b/>
          <w:bCs/>
          <w:color w:val="407CA8"/>
          <w:sz w:val="27"/>
          <w:szCs w:val="27"/>
          <w:lang w:eastAsia="fr-FR"/>
        </w:rPr>
        <w:t>Renforcement du plan d'investissement</w:t>
      </w:r>
    </w:p>
    <w:p w14:paraId="1CAD9AA0"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rial" w:eastAsia="Times New Roman" w:hAnsi="Arial" w:cs="Arial"/>
          <w:b/>
          <w:bCs/>
          <w:color w:val="212529"/>
          <w:sz w:val="25"/>
          <w:szCs w:val="25"/>
          <w:lang w:eastAsia="fr-FR"/>
        </w:rPr>
        <w:lastRenderedPageBreak/>
        <w:t>3 milliards</w:t>
      </w:r>
      <w:r w:rsidRPr="00476838">
        <w:rPr>
          <w:rFonts w:ascii="&amp;quot" w:eastAsia="Times New Roman" w:hAnsi="&amp;quot" w:cs="Times New Roman"/>
          <w:color w:val="212529"/>
          <w:sz w:val="25"/>
          <w:szCs w:val="25"/>
          <w:lang w:eastAsia="fr-FR"/>
        </w:rPr>
        <w:t xml:space="preserve"> d’investissements vont accompagner la reprise et la transformation du secteur :</w:t>
      </w:r>
    </w:p>
    <w:p w14:paraId="4B11A6B8" w14:textId="77777777" w:rsidR="00476838" w:rsidRPr="00476838" w:rsidRDefault="00476838" w:rsidP="00476838">
      <w:pPr>
        <w:numPr>
          <w:ilvl w:val="0"/>
          <w:numId w:val="2"/>
        </w:numPr>
        <w:spacing w:before="100" w:beforeAutospacing="1"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Le prêt Tourisme proposé par Bpifrance sera renforcé, pour atteindre </w:t>
      </w:r>
      <w:r w:rsidRPr="00476838">
        <w:rPr>
          <w:rFonts w:ascii="Arial" w:eastAsia="Times New Roman" w:hAnsi="Arial" w:cs="Arial"/>
          <w:b/>
          <w:bCs/>
          <w:color w:val="212529"/>
          <w:sz w:val="25"/>
          <w:szCs w:val="25"/>
          <w:lang w:eastAsia="fr-FR"/>
        </w:rPr>
        <w:t>1 milliard d’euros.</w:t>
      </w:r>
    </w:p>
    <w:p w14:paraId="7F35BC54" w14:textId="77777777" w:rsidR="00476838" w:rsidRPr="00476838" w:rsidRDefault="00476838" w:rsidP="00476838">
      <w:pPr>
        <w:numPr>
          <w:ilvl w:val="0"/>
          <w:numId w:val="2"/>
        </w:numPr>
        <w:spacing w:before="100" w:beforeAutospacing="1"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Environ </w:t>
      </w:r>
      <w:r w:rsidRPr="00476838">
        <w:rPr>
          <w:rFonts w:ascii="Arial" w:eastAsia="Times New Roman" w:hAnsi="Arial" w:cs="Arial"/>
          <w:b/>
          <w:bCs/>
          <w:color w:val="212529"/>
          <w:sz w:val="25"/>
          <w:szCs w:val="25"/>
          <w:lang w:eastAsia="fr-FR"/>
        </w:rPr>
        <w:t>600 millions d’euros</w:t>
      </w:r>
      <w:r w:rsidRPr="00476838">
        <w:rPr>
          <w:rFonts w:ascii="&amp;quot" w:eastAsia="Times New Roman" w:hAnsi="&amp;quot" w:cs="Times New Roman"/>
          <w:color w:val="212529"/>
          <w:sz w:val="25"/>
          <w:szCs w:val="25"/>
          <w:lang w:eastAsia="fr-FR"/>
        </w:rPr>
        <w:t xml:space="preserve"> de ressources du Groupe </w:t>
      </w:r>
      <w:hyperlink r:id="rId11" w:tgtFrame="_blank" w:tooltip="« caissedesdepots.fr » dans une nouvelle fenêtre" w:history="1">
        <w:r w:rsidRPr="00476838">
          <w:rPr>
            <w:rFonts w:ascii="&amp;quot" w:eastAsia="Times New Roman" w:hAnsi="&amp;quot" w:cs="Times New Roman"/>
            <w:color w:val="126F7F"/>
            <w:sz w:val="25"/>
            <w:szCs w:val="25"/>
            <w:u w:val="single"/>
            <w:lang w:eastAsia="fr-FR"/>
          </w:rPr>
          <w:t>Caisse des Dépôts et Consignations</w:t>
        </w:r>
      </w:hyperlink>
      <w:r w:rsidRPr="00476838">
        <w:rPr>
          <w:rFonts w:ascii="&amp;quot" w:eastAsia="Times New Roman" w:hAnsi="&amp;quot" w:cs="Times New Roman"/>
          <w:color w:val="212529"/>
          <w:sz w:val="25"/>
          <w:szCs w:val="25"/>
          <w:lang w:eastAsia="fr-FR"/>
        </w:rPr>
        <w:t xml:space="preserve"> (</w:t>
      </w:r>
      <w:hyperlink r:id="rId12" w:tgtFrame="_blank" w:tooltip="« bpifrance.fr/ » dans une nouvelle fenêtre" w:history="1">
        <w:r w:rsidRPr="00476838">
          <w:rPr>
            <w:rFonts w:ascii="&amp;quot" w:eastAsia="Times New Roman" w:hAnsi="&amp;quot" w:cs="Times New Roman"/>
            <w:color w:val="126F7F"/>
            <w:sz w:val="25"/>
            <w:szCs w:val="25"/>
            <w:u w:val="single"/>
            <w:lang w:eastAsia="fr-FR"/>
          </w:rPr>
          <w:t>Bpifrance</w:t>
        </w:r>
      </w:hyperlink>
      <w:r w:rsidRPr="00476838">
        <w:rPr>
          <w:rFonts w:ascii="&amp;quot" w:eastAsia="Times New Roman" w:hAnsi="&amp;quot" w:cs="Times New Roman"/>
          <w:color w:val="212529"/>
          <w:sz w:val="25"/>
          <w:szCs w:val="25"/>
          <w:lang w:eastAsia="fr-FR"/>
        </w:rPr>
        <w:t xml:space="preserve">, </w:t>
      </w:r>
      <w:hyperlink r:id="rId13" w:tgtFrame="_blank" w:tooltip="« banquedesterritoires.fr » dans une nouvelle fenêtre" w:history="1">
        <w:r w:rsidRPr="00476838">
          <w:rPr>
            <w:rFonts w:ascii="&amp;quot" w:eastAsia="Times New Roman" w:hAnsi="&amp;quot" w:cs="Times New Roman"/>
            <w:color w:val="126F7F"/>
            <w:sz w:val="25"/>
            <w:szCs w:val="25"/>
            <w:u w:val="single"/>
            <w:lang w:eastAsia="fr-FR"/>
          </w:rPr>
          <w:t>Banque des Territoires</w:t>
        </w:r>
      </w:hyperlink>
      <w:r w:rsidRPr="00476838">
        <w:rPr>
          <w:rFonts w:ascii="&amp;quot" w:eastAsia="Times New Roman" w:hAnsi="&amp;quot" w:cs="Times New Roman"/>
          <w:color w:val="212529"/>
          <w:sz w:val="25"/>
          <w:szCs w:val="25"/>
          <w:lang w:eastAsia="fr-FR"/>
        </w:rPr>
        <w:t xml:space="preserve">, La </w:t>
      </w:r>
      <w:hyperlink r:id="rId14" w:tgtFrame="_blank" w:tooltip="« labanquepostale.fr » dans une nouvelle fenêtre" w:history="1">
        <w:r w:rsidRPr="00476838">
          <w:rPr>
            <w:rFonts w:ascii="&amp;quot" w:eastAsia="Times New Roman" w:hAnsi="&amp;quot" w:cs="Times New Roman"/>
            <w:color w:val="126F7F"/>
            <w:sz w:val="25"/>
            <w:szCs w:val="25"/>
            <w:u w:val="single"/>
            <w:lang w:eastAsia="fr-FR"/>
          </w:rPr>
          <w:t>Banque postale</w:t>
        </w:r>
      </w:hyperlink>
      <w:r w:rsidRPr="00476838">
        <w:rPr>
          <w:rFonts w:ascii="&amp;quot" w:eastAsia="Times New Roman" w:hAnsi="&amp;quot" w:cs="Times New Roman"/>
          <w:color w:val="212529"/>
          <w:sz w:val="25"/>
          <w:szCs w:val="25"/>
          <w:lang w:eastAsia="fr-FR"/>
        </w:rPr>
        <w:t>) seront mobilisés pour offrir des prêts de court et long terme.</w:t>
      </w:r>
    </w:p>
    <w:p w14:paraId="4B86DA67" w14:textId="77777777" w:rsidR="00476838" w:rsidRPr="00476838" w:rsidRDefault="00476838" w:rsidP="00476838">
      <w:pPr>
        <w:numPr>
          <w:ilvl w:val="0"/>
          <w:numId w:val="2"/>
        </w:numPr>
        <w:spacing w:before="100" w:beforeAutospacing="1"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Plus de </w:t>
      </w:r>
      <w:r w:rsidRPr="00476838">
        <w:rPr>
          <w:rFonts w:ascii="Arial" w:eastAsia="Times New Roman" w:hAnsi="Arial" w:cs="Arial"/>
          <w:b/>
          <w:bCs/>
          <w:color w:val="212529"/>
          <w:sz w:val="25"/>
          <w:szCs w:val="25"/>
          <w:lang w:eastAsia="fr-FR"/>
        </w:rPr>
        <w:t>1,3 milliards d’euros</w:t>
      </w:r>
      <w:r w:rsidRPr="00476838">
        <w:rPr>
          <w:rFonts w:ascii="&amp;quot" w:eastAsia="Times New Roman" w:hAnsi="&amp;quot" w:cs="Times New Roman"/>
          <w:color w:val="212529"/>
          <w:sz w:val="25"/>
          <w:szCs w:val="25"/>
          <w:lang w:eastAsia="fr-FR"/>
        </w:rPr>
        <w:t xml:space="preserve"> seront investis en fonds propres par la Caisse des Dépôts et Consignations et Bpifrance dans le secteur du tourisme, pour un effet attendu en matière d’investissement de 6,7 milliards d'euros.</w:t>
      </w:r>
    </w:p>
    <w:p w14:paraId="0F756CE0" w14:textId="77777777" w:rsidR="00476838" w:rsidRPr="00476838" w:rsidRDefault="00476838" w:rsidP="00476838">
      <w:pPr>
        <w:numPr>
          <w:ilvl w:val="0"/>
          <w:numId w:val="2"/>
        </w:numPr>
        <w:spacing w:before="100" w:beforeAutospacing="1"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Près de 1 500 entreprises et leurs dirigeants bénéficieront d’un accompagnement spécifique par Bpifrance s'appuyant sur du conseil, de la formation et des programmes d’accélération, tandis que l’appui aux territoires sera amplifié par la Banque des Territoires avec notamment un renforcement de la capacité de France Tourisme Ingénierie pour 29,5 millions d’euros pour l’ensemble.</w:t>
      </w:r>
    </w:p>
    <w:p w14:paraId="26DE7D7B" w14:textId="77777777" w:rsidR="00476838" w:rsidRPr="00476838" w:rsidRDefault="00476838" w:rsidP="00476838">
      <w:pPr>
        <w:numPr>
          <w:ilvl w:val="0"/>
          <w:numId w:val="2"/>
        </w:numPr>
        <w:spacing w:before="100" w:beforeAutospacing="1"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 xml:space="preserve">Dès 2020, le Fonds Tourisme Social Investissement sera triplé avec une augmentation de ses capacités d’investissement à hauteur de </w:t>
      </w:r>
      <w:r w:rsidRPr="00476838">
        <w:rPr>
          <w:rFonts w:ascii="Arial" w:eastAsia="Times New Roman" w:hAnsi="Arial" w:cs="Arial"/>
          <w:b/>
          <w:bCs/>
          <w:color w:val="212529"/>
          <w:sz w:val="25"/>
          <w:szCs w:val="25"/>
          <w:lang w:eastAsia="fr-FR"/>
        </w:rPr>
        <w:t>225 millions d'euros</w:t>
      </w:r>
      <w:r w:rsidRPr="00476838">
        <w:rPr>
          <w:rFonts w:ascii="&amp;quot" w:eastAsia="Times New Roman" w:hAnsi="&amp;quot" w:cs="Times New Roman"/>
          <w:color w:val="212529"/>
          <w:sz w:val="25"/>
          <w:szCs w:val="25"/>
          <w:lang w:eastAsia="fr-FR"/>
        </w:rPr>
        <w:t xml:space="preserve"> et des critères d’éligibilité assouplis.</w:t>
      </w:r>
    </w:p>
    <w:p w14:paraId="4080A2B0" w14:textId="77777777" w:rsidR="00476838" w:rsidRPr="00476838" w:rsidRDefault="00476838" w:rsidP="00476838">
      <w:pPr>
        <w:shd w:val="clear" w:color="auto" w:fill="FFFFFF"/>
        <w:spacing w:after="0" w:line="240" w:lineRule="auto"/>
        <w:rPr>
          <w:rFonts w:ascii="Arial" w:eastAsia="Times New Roman" w:hAnsi="Arial" w:cs="Arial"/>
          <w:color w:val="407CA8"/>
          <w:sz w:val="25"/>
          <w:szCs w:val="25"/>
          <w:lang w:eastAsia="fr-FR"/>
        </w:rPr>
      </w:pPr>
      <w:r w:rsidRPr="00476838">
        <w:rPr>
          <w:rFonts w:ascii="Arial" w:eastAsia="Times New Roman" w:hAnsi="Arial" w:cs="Arial"/>
          <w:color w:val="407CA8"/>
          <w:sz w:val="25"/>
          <w:szCs w:val="25"/>
          <w:lang w:eastAsia="fr-FR"/>
        </w:rPr>
        <w:t>Les autres mesures du Plan de soutien au secteur touristique</w:t>
      </w:r>
    </w:p>
    <w:p w14:paraId="21EE0CF6"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Aux mesures de soutien spécifiques à destination des entreprises s'ajoutent également :</w:t>
      </w:r>
    </w:p>
    <w:p w14:paraId="4473F6BC" w14:textId="77777777" w:rsidR="00476838" w:rsidRPr="00476838" w:rsidRDefault="00476838" w:rsidP="00476838">
      <w:pPr>
        <w:numPr>
          <w:ilvl w:val="0"/>
          <w:numId w:val="3"/>
        </w:numPr>
        <w:spacing w:before="100" w:beforeAutospacing="1" w:after="100" w:afterAutospacing="1" w:line="240" w:lineRule="auto"/>
        <w:rPr>
          <w:rFonts w:ascii="&amp;quot" w:eastAsia="Times New Roman" w:hAnsi="&amp;quot" w:cs="Times New Roman"/>
          <w:color w:val="212529"/>
          <w:sz w:val="25"/>
          <w:szCs w:val="25"/>
          <w:lang w:eastAsia="fr-FR"/>
        </w:rPr>
      </w:pPr>
      <w:proofErr w:type="gramStart"/>
      <w:r w:rsidRPr="00476838">
        <w:rPr>
          <w:rFonts w:ascii="&amp;quot" w:eastAsia="Times New Roman" w:hAnsi="&amp;quot" w:cs="Times New Roman"/>
          <w:color w:val="212529"/>
          <w:sz w:val="25"/>
          <w:szCs w:val="25"/>
          <w:lang w:eastAsia="fr-FR"/>
        </w:rPr>
        <w:t>l'élaboration</w:t>
      </w:r>
      <w:proofErr w:type="gramEnd"/>
      <w:r w:rsidRPr="00476838">
        <w:rPr>
          <w:rFonts w:ascii="&amp;quot" w:eastAsia="Times New Roman" w:hAnsi="&amp;quot" w:cs="Times New Roman"/>
          <w:color w:val="212529"/>
          <w:sz w:val="25"/>
          <w:szCs w:val="25"/>
          <w:lang w:eastAsia="fr-FR"/>
        </w:rPr>
        <w:t xml:space="preserve"> de guides par les ministères et les branches professionnelles à destination des salariés et des publics ;</w:t>
      </w:r>
    </w:p>
    <w:p w14:paraId="2FCD5B12" w14:textId="77777777" w:rsidR="00476838" w:rsidRPr="00476838" w:rsidRDefault="00476838" w:rsidP="00476838">
      <w:pPr>
        <w:numPr>
          <w:ilvl w:val="0"/>
          <w:numId w:val="3"/>
        </w:numPr>
        <w:spacing w:before="100" w:beforeAutospacing="1" w:after="100" w:afterAutospacing="1" w:line="240" w:lineRule="auto"/>
        <w:rPr>
          <w:rFonts w:ascii="&amp;quot" w:eastAsia="Times New Roman" w:hAnsi="&amp;quot" w:cs="Times New Roman"/>
          <w:color w:val="212529"/>
          <w:sz w:val="25"/>
          <w:szCs w:val="25"/>
          <w:lang w:eastAsia="fr-FR"/>
        </w:rPr>
      </w:pPr>
      <w:proofErr w:type="gramStart"/>
      <w:r w:rsidRPr="00476838">
        <w:rPr>
          <w:rFonts w:ascii="&amp;quot" w:eastAsia="Times New Roman" w:hAnsi="&amp;quot" w:cs="Times New Roman"/>
          <w:color w:val="212529"/>
          <w:sz w:val="25"/>
          <w:szCs w:val="25"/>
          <w:lang w:eastAsia="fr-FR"/>
        </w:rPr>
        <w:t>le</w:t>
      </w:r>
      <w:proofErr w:type="gramEnd"/>
      <w:r w:rsidRPr="00476838">
        <w:rPr>
          <w:rFonts w:ascii="&amp;quot" w:eastAsia="Times New Roman" w:hAnsi="&amp;quot" w:cs="Times New Roman"/>
          <w:color w:val="212529"/>
          <w:sz w:val="25"/>
          <w:szCs w:val="25"/>
          <w:lang w:eastAsia="fr-FR"/>
        </w:rPr>
        <w:t xml:space="preserve"> développement de protocoles sanitaires sectoriels pour 7 secteurs du tourisme ;</w:t>
      </w:r>
    </w:p>
    <w:p w14:paraId="742B9408" w14:textId="77777777" w:rsidR="00476838" w:rsidRPr="00476838" w:rsidRDefault="00476838" w:rsidP="00476838">
      <w:pPr>
        <w:numPr>
          <w:ilvl w:val="0"/>
          <w:numId w:val="3"/>
        </w:numPr>
        <w:spacing w:before="100" w:beforeAutospacing="1" w:after="100" w:afterAutospacing="1" w:line="240" w:lineRule="auto"/>
        <w:rPr>
          <w:rFonts w:ascii="&amp;quot" w:eastAsia="Times New Roman" w:hAnsi="&amp;quot" w:cs="Times New Roman"/>
          <w:color w:val="212529"/>
          <w:sz w:val="25"/>
          <w:szCs w:val="25"/>
          <w:lang w:eastAsia="fr-FR"/>
        </w:rPr>
      </w:pPr>
      <w:proofErr w:type="gramStart"/>
      <w:r w:rsidRPr="00476838">
        <w:rPr>
          <w:rFonts w:ascii="&amp;quot" w:eastAsia="Times New Roman" w:hAnsi="&amp;quot" w:cs="Times New Roman"/>
          <w:color w:val="212529"/>
          <w:sz w:val="25"/>
          <w:szCs w:val="25"/>
          <w:lang w:eastAsia="fr-FR"/>
        </w:rPr>
        <w:t>le</w:t>
      </w:r>
      <w:proofErr w:type="gramEnd"/>
      <w:r w:rsidRPr="00476838">
        <w:rPr>
          <w:rFonts w:ascii="&amp;quot" w:eastAsia="Times New Roman" w:hAnsi="&amp;quot" w:cs="Times New Roman"/>
          <w:color w:val="212529"/>
          <w:sz w:val="25"/>
          <w:szCs w:val="25"/>
          <w:lang w:eastAsia="fr-FR"/>
        </w:rPr>
        <w:t xml:space="preserve"> lancement d'une campagne de communication, portée par Atout France, dès juin 2020, en coordination avec les acteurs publics et locaux concernés, afin d’accompagner la reprise du secteur touristique dès que les conditions sanitaires le permettront ;</w:t>
      </w:r>
    </w:p>
    <w:p w14:paraId="46DAF695" w14:textId="77777777" w:rsidR="00476838" w:rsidRPr="00476838" w:rsidRDefault="00476838" w:rsidP="00476838">
      <w:pPr>
        <w:spacing w:after="100" w:afterAutospacing="1" w:line="240" w:lineRule="auto"/>
        <w:rPr>
          <w:rFonts w:ascii="&amp;quot" w:eastAsia="Times New Roman" w:hAnsi="&amp;quot" w:cs="Times New Roman"/>
          <w:color w:val="212529"/>
          <w:sz w:val="25"/>
          <w:szCs w:val="25"/>
          <w:lang w:eastAsia="fr-FR"/>
        </w:rPr>
      </w:pPr>
      <w:r w:rsidRPr="00476838">
        <w:rPr>
          <w:rFonts w:ascii="&amp;quot" w:eastAsia="Times New Roman" w:hAnsi="&amp;quot" w:cs="Times New Roman"/>
          <w:color w:val="212529"/>
          <w:sz w:val="25"/>
          <w:szCs w:val="25"/>
          <w:lang w:eastAsia="fr-FR"/>
        </w:rPr>
        <w:t>etc.</w:t>
      </w:r>
    </w:p>
    <w:p w14:paraId="3EB2D3D0" w14:textId="77777777" w:rsidR="00105393" w:rsidRDefault="00105393"/>
    <w:sectPr w:rsidR="00105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314337"/>
    <w:multiLevelType w:val="multilevel"/>
    <w:tmpl w:val="88A6C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6322F"/>
    <w:multiLevelType w:val="multilevel"/>
    <w:tmpl w:val="C592F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531FD8"/>
    <w:multiLevelType w:val="multilevel"/>
    <w:tmpl w:val="A76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38"/>
    <w:rsid w:val="00105393"/>
    <w:rsid w:val="004768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B6E2"/>
  <w15:chartTrackingRefBased/>
  <w15:docId w15:val="{C04699B1-3014-4BCC-B031-29DBD6F9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174250">
      <w:bodyDiv w:val="1"/>
      <w:marLeft w:val="0"/>
      <w:marRight w:val="0"/>
      <w:marTop w:val="0"/>
      <w:marBottom w:val="0"/>
      <w:divBdr>
        <w:top w:val="none" w:sz="0" w:space="0" w:color="auto"/>
        <w:left w:val="none" w:sz="0" w:space="0" w:color="auto"/>
        <w:bottom w:val="none" w:sz="0" w:space="0" w:color="auto"/>
        <w:right w:val="none" w:sz="0" w:space="0" w:color="auto"/>
      </w:divBdr>
      <w:divsChild>
        <w:div w:id="606348720">
          <w:marLeft w:val="0"/>
          <w:marRight w:val="0"/>
          <w:marTop w:val="100"/>
          <w:marBottom w:val="100"/>
          <w:divBdr>
            <w:top w:val="none" w:sz="0" w:space="0" w:color="auto"/>
            <w:left w:val="none" w:sz="0" w:space="0" w:color="auto"/>
            <w:bottom w:val="none" w:sz="0" w:space="0" w:color="auto"/>
            <w:right w:val="none" w:sz="0" w:space="0" w:color="auto"/>
          </w:divBdr>
        </w:div>
        <w:div w:id="671568199">
          <w:marLeft w:val="0"/>
          <w:marRight w:val="0"/>
          <w:marTop w:val="100"/>
          <w:marBottom w:val="100"/>
          <w:divBdr>
            <w:top w:val="none" w:sz="0" w:space="0" w:color="auto"/>
            <w:left w:val="none" w:sz="0" w:space="0" w:color="auto"/>
            <w:bottom w:val="none" w:sz="0" w:space="0" w:color="auto"/>
            <w:right w:val="none" w:sz="0" w:space="0" w:color="auto"/>
          </w:divBdr>
          <w:divsChild>
            <w:div w:id="812605748">
              <w:marLeft w:val="0"/>
              <w:marRight w:val="0"/>
              <w:marTop w:val="0"/>
              <w:marBottom w:val="0"/>
              <w:divBdr>
                <w:top w:val="none" w:sz="0" w:space="0" w:color="auto"/>
                <w:left w:val="none" w:sz="0" w:space="0" w:color="auto"/>
                <w:bottom w:val="none" w:sz="0" w:space="0" w:color="auto"/>
                <w:right w:val="none" w:sz="0" w:space="0" w:color="auto"/>
              </w:divBdr>
              <w:divsChild>
                <w:div w:id="1966891194">
                  <w:marLeft w:val="0"/>
                  <w:marRight w:val="0"/>
                  <w:marTop w:val="0"/>
                  <w:marBottom w:val="0"/>
                  <w:divBdr>
                    <w:top w:val="single" w:sz="6" w:space="0" w:color="407CA8"/>
                    <w:left w:val="single" w:sz="6" w:space="0" w:color="407CA8"/>
                    <w:bottom w:val="single" w:sz="6" w:space="0" w:color="407CA8"/>
                    <w:right w:val="single" w:sz="6" w:space="0" w:color="407CA8"/>
                  </w:divBdr>
                </w:div>
                <w:div w:id="1435905922">
                  <w:marLeft w:val="0"/>
                  <w:marRight w:val="0"/>
                  <w:marTop w:val="0"/>
                  <w:marBottom w:val="0"/>
                  <w:divBdr>
                    <w:top w:val="none" w:sz="0" w:space="0" w:color="auto"/>
                    <w:left w:val="none" w:sz="0" w:space="0" w:color="auto"/>
                    <w:bottom w:val="none" w:sz="0" w:space="0" w:color="auto"/>
                    <w:right w:val="none" w:sz="0" w:space="0" w:color="auto"/>
                  </w:divBdr>
                  <w:divsChild>
                    <w:div w:id="136188164">
                      <w:marLeft w:val="0"/>
                      <w:marRight w:val="0"/>
                      <w:marTop w:val="0"/>
                      <w:marBottom w:val="0"/>
                      <w:divBdr>
                        <w:top w:val="none" w:sz="0" w:space="0" w:color="auto"/>
                        <w:left w:val="none" w:sz="0" w:space="0" w:color="auto"/>
                        <w:bottom w:val="none" w:sz="0" w:space="0" w:color="auto"/>
                        <w:right w:val="none" w:sz="0" w:space="0" w:color="auto"/>
                      </w:divBdr>
                      <w:divsChild>
                        <w:div w:id="921599579">
                          <w:marLeft w:val="0"/>
                          <w:marRight w:val="0"/>
                          <w:marTop w:val="0"/>
                          <w:marBottom w:val="0"/>
                          <w:divBdr>
                            <w:top w:val="none" w:sz="0" w:space="0" w:color="auto"/>
                            <w:left w:val="none" w:sz="0" w:space="0" w:color="auto"/>
                            <w:bottom w:val="none" w:sz="0" w:space="0" w:color="auto"/>
                            <w:right w:val="none" w:sz="0" w:space="0" w:color="auto"/>
                          </w:divBdr>
                          <w:divsChild>
                            <w:div w:id="600995302">
                              <w:marLeft w:val="0"/>
                              <w:marRight w:val="0"/>
                              <w:marTop w:val="0"/>
                              <w:marBottom w:val="0"/>
                              <w:divBdr>
                                <w:top w:val="none" w:sz="0" w:space="0" w:color="auto"/>
                                <w:left w:val="none" w:sz="0" w:space="0" w:color="auto"/>
                                <w:bottom w:val="none" w:sz="0" w:space="0" w:color="auto"/>
                                <w:right w:val="none" w:sz="0" w:space="0" w:color="auto"/>
                              </w:divBdr>
                              <w:divsChild>
                                <w:div w:id="325136275">
                                  <w:marLeft w:val="0"/>
                                  <w:marRight w:val="0"/>
                                  <w:marTop w:val="0"/>
                                  <w:marBottom w:val="0"/>
                                  <w:divBdr>
                                    <w:top w:val="single" w:sz="6" w:space="0" w:color="407CA8"/>
                                    <w:left w:val="single" w:sz="6" w:space="0" w:color="407CA8"/>
                                    <w:bottom w:val="single" w:sz="6" w:space="0" w:color="407CA8"/>
                                    <w:right w:val="single" w:sz="6" w:space="0" w:color="407CA8"/>
                                  </w:divBdr>
                                  <w:divsChild>
                                    <w:div w:id="766116408">
                                      <w:marLeft w:val="0"/>
                                      <w:marRight w:val="0"/>
                                      <w:marTop w:val="0"/>
                                      <w:marBottom w:val="0"/>
                                      <w:divBdr>
                                        <w:top w:val="none" w:sz="0" w:space="0" w:color="auto"/>
                                        <w:left w:val="none" w:sz="0" w:space="0" w:color="auto"/>
                                        <w:bottom w:val="none" w:sz="0" w:space="0" w:color="auto"/>
                                        <w:right w:val="none" w:sz="0" w:space="0" w:color="auto"/>
                                      </w:divBdr>
                                    </w:div>
                                    <w:div w:id="113247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tourisme.fr/" TargetMode="External"/><Relationship Id="rId13" Type="http://schemas.openxmlformats.org/officeDocument/2006/relationships/hyperlink" Target="https://www.banquedesterritoires.fr/habitat-social?pk_campaign=SEA&amp;pk_kwd=filrouge&amp;pk_source=google&amp;pk_medium=cpc&amp;gclid=Cj0KCQjw-_j1BRDkARIsAJcfmTHFdH-kx8k_5MQFgTMyQd4u5UpdkDuX6IfYALBXe9BVcU8BpwFB1WQaAp-nEALw_wcB&amp;gclsrc=aw.ds" TargetMode="External"/><Relationship Id="rId3" Type="http://schemas.openxmlformats.org/officeDocument/2006/relationships/settings" Target="settings.xml"/><Relationship Id="rId7" Type="http://schemas.openxmlformats.org/officeDocument/2006/relationships/hyperlink" Target="https://www.economie.gouv.fr/covid19-soutien-entreprises/pret-garanti-par-letat" TargetMode="External"/><Relationship Id="rId12" Type="http://schemas.openxmlformats.org/officeDocument/2006/relationships/hyperlink" Target="https://www.bpifrance.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conomie.gouv.fr/covid19-soutien-entreprises/fonds-de-solidarite-pour-les-tpe-independants-et-micro" TargetMode="External"/><Relationship Id="rId11" Type="http://schemas.openxmlformats.org/officeDocument/2006/relationships/hyperlink" Target="https://www.caissedesdepots.fr/" TargetMode="External"/><Relationship Id="rId5" Type="http://schemas.openxmlformats.org/officeDocument/2006/relationships/hyperlink" Target="https://www.economie.gouv.fr/covid19-soutien-entreprises/dispositif-de-chomage-partiel" TargetMode="External"/><Relationship Id="rId15" Type="http://schemas.openxmlformats.org/officeDocument/2006/relationships/fontTable" Target="fontTable.xml"/><Relationship Id="rId10" Type="http://schemas.openxmlformats.org/officeDocument/2006/relationships/hyperlink" Target="https://www.bpifrance.fr/" TargetMode="External"/><Relationship Id="rId4" Type="http://schemas.openxmlformats.org/officeDocument/2006/relationships/webSettings" Target="webSettings.xml"/><Relationship Id="rId9" Type="http://schemas.openxmlformats.org/officeDocument/2006/relationships/hyperlink" Target="https://www.banquedesterritoires.fr/habitat-social?pk_campaign=SEA&amp;pk_kwd=filrouge&amp;pk_source=google&amp;pk_medium=cpc&amp;gclid=Cj0KCQjw-_j1BRDkARIsAJcfmTHFdH-kx8k_5MQFgTMyQd4u5UpdkDuX6IfYALBXe9BVcU8BpwFB1WQaAp-nEALw_wcB&amp;gclsrc=aw.ds" TargetMode="External"/><Relationship Id="rId14" Type="http://schemas.openxmlformats.org/officeDocument/2006/relationships/hyperlink" Target="https://www.labanqueposta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1188</Words>
  <Characters>6540</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1</cp:revision>
  <dcterms:created xsi:type="dcterms:W3CDTF">2020-06-05T15:05:00Z</dcterms:created>
  <dcterms:modified xsi:type="dcterms:W3CDTF">2020-06-05T15:15:00Z</dcterms:modified>
</cp:coreProperties>
</file>